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5AB8" w14:textId="4D6776E2" w:rsidR="00D12064" w:rsidRPr="00EF1F01" w:rsidRDefault="005863ED" w:rsidP="005863ED">
      <w:pPr>
        <w:rPr>
          <w:rFonts w:ascii="Myriad Pro" w:hAnsi="Myriad Pro" w:cs="Arial"/>
          <w:b/>
          <w:sz w:val="28"/>
          <w:szCs w:val="28"/>
          <w:lang w:val="en-GB"/>
        </w:rPr>
      </w:pPr>
      <w:r w:rsidRPr="00EF1F01">
        <w:rPr>
          <w:rFonts w:ascii="Myriad Pro" w:hAnsi="Myriad Pro" w:cs="Arial"/>
          <w:b/>
          <w:noProof/>
          <w:sz w:val="28"/>
          <w:szCs w:val="28"/>
          <w:lang w:val="en-GB" w:eastAsia="en-US"/>
        </w:rPr>
        <w:drawing>
          <wp:inline distT="0" distB="0" distL="0" distR="0" wp14:anchorId="58800629" wp14:editId="42792983">
            <wp:extent cx="1226654" cy="1323975"/>
            <wp:effectExtent l="0" t="0" r="0" b="0"/>
            <wp:docPr id="2" name="Picture 2" descr="C:\Users\anne-marie.rihane\Desktop\S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e-marie.rihane\Desktop\SID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6277" cy="1334361"/>
                    </a:xfrm>
                    <a:prstGeom prst="rect">
                      <a:avLst/>
                    </a:prstGeom>
                    <a:noFill/>
                    <a:ln>
                      <a:noFill/>
                    </a:ln>
                  </pic:spPr>
                </pic:pic>
              </a:graphicData>
            </a:graphic>
          </wp:inline>
        </w:drawing>
      </w:r>
      <w:r w:rsidR="00B059D4" w:rsidRPr="00EF1F01">
        <w:rPr>
          <w:rFonts w:ascii="Myriad Pro" w:hAnsi="Myriad Pro" w:cs="Arial"/>
          <w:b/>
          <w:noProof/>
          <w:sz w:val="28"/>
          <w:szCs w:val="28"/>
          <w:lang w:val="en-GB"/>
        </w:rPr>
        <w:t xml:space="preserve">                                                                         </w:t>
      </w:r>
      <w:r w:rsidR="00B059D4" w:rsidRPr="00EF1F01">
        <w:rPr>
          <w:rFonts w:ascii="Myriad Pro" w:hAnsi="Myriad Pro" w:cs="Arial"/>
          <w:b/>
          <w:noProof/>
          <w:sz w:val="28"/>
          <w:szCs w:val="28"/>
          <w:lang w:val="en-GB"/>
        </w:rPr>
        <w:drawing>
          <wp:inline distT="0" distB="0" distL="0" distR="0" wp14:anchorId="7973F42A" wp14:editId="3CC10A0D">
            <wp:extent cx="1085585" cy="1653540"/>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DP-Logo-Blue-Small.png"/>
                    <pic:cNvPicPr/>
                  </pic:nvPicPr>
                  <pic:blipFill>
                    <a:blip r:embed="rId12">
                      <a:extLst>
                        <a:ext uri="{28A0092B-C50C-407E-A947-70E740481C1C}">
                          <a14:useLocalDpi xmlns:a14="http://schemas.microsoft.com/office/drawing/2010/main" val="0"/>
                        </a:ext>
                      </a:extLst>
                    </a:blip>
                    <a:stretch>
                      <a:fillRect/>
                    </a:stretch>
                  </pic:blipFill>
                  <pic:spPr>
                    <a:xfrm>
                      <a:off x="0" y="0"/>
                      <a:ext cx="1112718" cy="1694869"/>
                    </a:xfrm>
                    <a:prstGeom prst="rect">
                      <a:avLst/>
                    </a:prstGeom>
                  </pic:spPr>
                </pic:pic>
              </a:graphicData>
            </a:graphic>
          </wp:inline>
        </w:drawing>
      </w:r>
    </w:p>
    <w:p w14:paraId="540B0295" w14:textId="77777777" w:rsidR="00D12064" w:rsidRPr="00EF1F01" w:rsidRDefault="00D12064" w:rsidP="00D12064">
      <w:pPr>
        <w:jc w:val="center"/>
        <w:rPr>
          <w:rFonts w:ascii="Myriad Pro" w:hAnsi="Myriad Pro" w:cs="Arial"/>
          <w:b/>
          <w:sz w:val="28"/>
          <w:szCs w:val="28"/>
          <w:lang w:val="en-GB"/>
        </w:rPr>
      </w:pPr>
    </w:p>
    <w:p w14:paraId="456F01BE" w14:textId="77777777" w:rsidR="00D12064" w:rsidRPr="00EF1F01" w:rsidRDefault="00D12064" w:rsidP="005863ED">
      <w:pPr>
        <w:rPr>
          <w:rFonts w:ascii="Myriad Pro" w:hAnsi="Myriad Pro" w:cs="Arial"/>
          <w:b/>
          <w:sz w:val="28"/>
          <w:szCs w:val="28"/>
          <w:lang w:val="en-GB"/>
        </w:rPr>
      </w:pPr>
    </w:p>
    <w:p w14:paraId="1255DF1B" w14:textId="77777777" w:rsidR="00D12064" w:rsidRPr="00EF1F01" w:rsidRDefault="00D12064" w:rsidP="00B059D4">
      <w:pPr>
        <w:rPr>
          <w:rFonts w:ascii="Corbel" w:hAnsi="Corbel" w:cs="Arial"/>
          <w:b/>
          <w:sz w:val="28"/>
          <w:szCs w:val="28"/>
          <w:lang w:val="en-GB"/>
        </w:rPr>
      </w:pPr>
    </w:p>
    <w:p w14:paraId="035CBD6B" w14:textId="77777777" w:rsidR="00D12064" w:rsidRPr="00EF1F01" w:rsidRDefault="00A3322E" w:rsidP="00D12064">
      <w:pPr>
        <w:jc w:val="center"/>
        <w:rPr>
          <w:rFonts w:ascii="Corbel" w:hAnsi="Corbel" w:cs="Arial"/>
          <w:b/>
          <w:lang w:val="en-GB"/>
        </w:rPr>
      </w:pPr>
      <w:r w:rsidRPr="00EF1F01">
        <w:rPr>
          <w:rFonts w:ascii="Corbel" w:hAnsi="Corbel" w:cs="Arial"/>
          <w:b/>
          <w:color w:val="0070C0"/>
          <w:sz w:val="48"/>
          <w:szCs w:val="48"/>
          <w:lang w:val="en-GB"/>
        </w:rPr>
        <w:t>STRENGTHENING ARAB ECONOM</w:t>
      </w:r>
      <w:r w:rsidR="00C66016" w:rsidRPr="00EF1F01">
        <w:rPr>
          <w:rFonts w:ascii="Corbel" w:hAnsi="Corbel" w:cs="Arial"/>
          <w:b/>
          <w:color w:val="0070C0"/>
          <w:sz w:val="48"/>
          <w:szCs w:val="48"/>
          <w:lang w:val="en-GB"/>
        </w:rPr>
        <w:t>IC INTEGRATION FOR SUSTAINABLE DEVELOPMENT</w:t>
      </w:r>
    </w:p>
    <w:p w14:paraId="17DB649A" w14:textId="77777777" w:rsidR="00D12064" w:rsidRPr="00EF1F01" w:rsidRDefault="00D12064" w:rsidP="00D12064">
      <w:pPr>
        <w:jc w:val="center"/>
        <w:rPr>
          <w:rFonts w:ascii="Corbel" w:hAnsi="Corbel" w:cs="Arial"/>
          <w:b/>
          <w:lang w:val="en-GB"/>
        </w:rPr>
      </w:pPr>
    </w:p>
    <w:p w14:paraId="56AF1A4C" w14:textId="77777777" w:rsidR="00D12064" w:rsidRPr="00EF1F01" w:rsidRDefault="00D12064" w:rsidP="00D12064">
      <w:pPr>
        <w:shd w:val="clear" w:color="auto" w:fill="E6E6E6"/>
        <w:rPr>
          <w:rFonts w:ascii="Corbel" w:hAnsi="Corbel" w:cs="Arial"/>
          <w:b/>
          <w:lang w:val="en-GB"/>
        </w:rPr>
      </w:pPr>
      <w:r w:rsidRPr="00EF1F01">
        <w:rPr>
          <w:rFonts w:ascii="Corbel" w:hAnsi="Corbel" w:cs="Arial"/>
          <w:b/>
          <w:lang w:val="en-GB"/>
        </w:rPr>
        <w:t xml:space="preserve">                                             </w:t>
      </w:r>
    </w:p>
    <w:p w14:paraId="6B1FF26C" w14:textId="29D042E2" w:rsidR="006B0754" w:rsidRPr="00EF1F01" w:rsidRDefault="56597427" w:rsidP="17C71799">
      <w:pPr>
        <w:shd w:val="clear" w:color="auto" w:fill="E6E6E6"/>
        <w:jc w:val="center"/>
        <w:rPr>
          <w:rFonts w:ascii="Corbel" w:hAnsi="Corbel" w:cs="Arial"/>
          <w:b/>
          <w:bCs/>
          <w:sz w:val="50"/>
          <w:szCs w:val="50"/>
          <w:lang w:val="en-GB"/>
        </w:rPr>
      </w:pPr>
      <w:r w:rsidRPr="17C71799">
        <w:rPr>
          <w:rFonts w:ascii="Corbel" w:hAnsi="Corbel" w:cs="Arial"/>
          <w:b/>
          <w:bCs/>
          <w:sz w:val="50"/>
          <w:szCs w:val="50"/>
          <w:lang w:val="en-GB"/>
        </w:rPr>
        <w:t xml:space="preserve">Final </w:t>
      </w:r>
      <w:r w:rsidR="77AD5AA0" w:rsidRPr="17C71799">
        <w:rPr>
          <w:rFonts w:ascii="Corbel" w:hAnsi="Corbel" w:cs="Arial"/>
          <w:b/>
          <w:bCs/>
          <w:sz w:val="50"/>
          <w:szCs w:val="50"/>
          <w:lang w:val="en-GB"/>
        </w:rPr>
        <w:t>Progress Report</w:t>
      </w:r>
    </w:p>
    <w:p w14:paraId="60860D36" w14:textId="67919880" w:rsidR="00162895" w:rsidRPr="00EF1F01" w:rsidRDefault="00162895" w:rsidP="17C71799">
      <w:pPr>
        <w:shd w:val="clear" w:color="auto" w:fill="E6E6E6"/>
        <w:spacing w:after="160" w:line="259" w:lineRule="auto"/>
        <w:jc w:val="center"/>
        <w:rPr>
          <w:rFonts w:ascii="Corbel" w:hAnsi="Corbel" w:cs="Arial"/>
          <w:b/>
          <w:bCs/>
          <w:lang w:val="en-GB"/>
        </w:rPr>
      </w:pPr>
    </w:p>
    <w:p w14:paraId="7B879E2F" w14:textId="77777777" w:rsidR="00494116" w:rsidRPr="00EF1F01" w:rsidRDefault="00494116" w:rsidP="00162895">
      <w:pPr>
        <w:spacing w:after="160" w:line="259" w:lineRule="auto"/>
        <w:rPr>
          <w:rFonts w:ascii="Corbel" w:hAnsi="Corbel" w:cs="Arial"/>
          <w:b/>
          <w:sz w:val="22"/>
          <w:szCs w:val="22"/>
          <w:lang w:val="en-GB"/>
        </w:rPr>
      </w:pPr>
    </w:p>
    <w:tbl>
      <w:tblPr>
        <w:tblpPr w:leftFromText="180" w:rightFromText="180" w:vertAnchor="text"/>
        <w:tblW w:w="9345" w:type="dxa"/>
        <w:tblCellMar>
          <w:left w:w="0" w:type="dxa"/>
          <w:right w:w="0" w:type="dxa"/>
        </w:tblCellMar>
        <w:tblLook w:val="04A0" w:firstRow="1" w:lastRow="0" w:firstColumn="1" w:lastColumn="0" w:noHBand="0" w:noVBand="1"/>
      </w:tblPr>
      <w:tblGrid>
        <w:gridCol w:w="3258"/>
        <w:gridCol w:w="6087"/>
      </w:tblGrid>
      <w:tr w:rsidR="00162895" w:rsidRPr="00EF1F01" w14:paraId="5DC5E1E8" w14:textId="77777777" w:rsidTr="0F3A49C3">
        <w:tc>
          <w:tcPr>
            <w:tcW w:w="3258" w:type="dxa"/>
            <w:tcBorders>
              <w:top w:val="single" w:sz="12" w:space="0" w:color="auto"/>
              <w:left w:val="single" w:sz="12" w:space="0" w:color="auto"/>
              <w:bottom w:val="nil"/>
              <w:right w:val="nil"/>
            </w:tcBorders>
            <w:tcMar>
              <w:top w:w="0" w:type="dxa"/>
              <w:left w:w="108" w:type="dxa"/>
              <w:bottom w:w="0" w:type="dxa"/>
              <w:right w:w="108" w:type="dxa"/>
            </w:tcMar>
            <w:hideMark/>
          </w:tcPr>
          <w:p w14:paraId="11B5C462" w14:textId="77777777" w:rsidR="00162895" w:rsidRPr="00EF1F01" w:rsidRDefault="00162895" w:rsidP="00162895">
            <w:pPr>
              <w:spacing w:after="160" w:line="259" w:lineRule="auto"/>
              <w:rPr>
                <w:rFonts w:ascii="Corbel" w:hAnsi="Corbel" w:cs="Arial"/>
                <w:b/>
                <w:bCs/>
                <w:sz w:val="22"/>
                <w:szCs w:val="22"/>
                <w:lang w:val="en-GB"/>
              </w:rPr>
            </w:pPr>
            <w:r w:rsidRPr="00EF1F01">
              <w:rPr>
                <w:rFonts w:ascii="Corbel" w:hAnsi="Corbel" w:cs="Arial"/>
                <w:b/>
                <w:bCs/>
                <w:sz w:val="22"/>
                <w:szCs w:val="22"/>
                <w:lang w:val="en-GB"/>
              </w:rPr>
              <w:t>Implementing Partner:</w:t>
            </w:r>
          </w:p>
        </w:tc>
        <w:tc>
          <w:tcPr>
            <w:tcW w:w="6087" w:type="dxa"/>
            <w:tcBorders>
              <w:top w:val="single" w:sz="12" w:space="0" w:color="auto"/>
              <w:left w:val="nil"/>
              <w:bottom w:val="nil"/>
              <w:right w:val="single" w:sz="12" w:space="0" w:color="auto"/>
            </w:tcBorders>
            <w:tcMar>
              <w:top w:w="0" w:type="dxa"/>
              <w:left w:w="108" w:type="dxa"/>
              <w:bottom w:w="0" w:type="dxa"/>
              <w:right w:w="108" w:type="dxa"/>
            </w:tcMar>
            <w:hideMark/>
          </w:tcPr>
          <w:p w14:paraId="053BAF6F" w14:textId="5990FBC6" w:rsidR="00162895" w:rsidRPr="00EF1F01" w:rsidRDefault="00162895" w:rsidP="00162895">
            <w:pPr>
              <w:spacing w:after="160" w:line="259" w:lineRule="auto"/>
              <w:rPr>
                <w:rFonts w:ascii="Corbel" w:hAnsi="Corbel" w:cs="Arial"/>
                <w:bCs/>
                <w:sz w:val="22"/>
                <w:szCs w:val="22"/>
                <w:lang w:val="en-GB"/>
              </w:rPr>
            </w:pPr>
            <w:r w:rsidRPr="00EF1F01">
              <w:rPr>
                <w:rFonts w:ascii="Corbel" w:hAnsi="Corbel" w:cs="Arial"/>
                <w:bCs/>
                <w:sz w:val="22"/>
                <w:szCs w:val="22"/>
                <w:lang w:val="en-GB"/>
              </w:rPr>
              <w:t xml:space="preserve">United Nations Development Programme (UNDP) </w:t>
            </w:r>
          </w:p>
        </w:tc>
      </w:tr>
      <w:tr w:rsidR="00162895" w:rsidRPr="00EF1F01" w14:paraId="568C3D09" w14:textId="77777777" w:rsidTr="0F3A49C3">
        <w:tc>
          <w:tcPr>
            <w:tcW w:w="3258" w:type="dxa"/>
            <w:tcBorders>
              <w:top w:val="nil"/>
              <w:left w:val="single" w:sz="12" w:space="0" w:color="auto"/>
              <w:bottom w:val="nil"/>
              <w:right w:val="nil"/>
            </w:tcBorders>
            <w:tcMar>
              <w:top w:w="0" w:type="dxa"/>
              <w:left w:w="108" w:type="dxa"/>
              <w:bottom w:w="0" w:type="dxa"/>
              <w:right w:w="108" w:type="dxa"/>
            </w:tcMar>
            <w:hideMark/>
          </w:tcPr>
          <w:p w14:paraId="5FE1644C" w14:textId="77777777" w:rsidR="00162895" w:rsidRPr="00EF1F01" w:rsidRDefault="00162895" w:rsidP="00162895">
            <w:pPr>
              <w:spacing w:after="160" w:line="259" w:lineRule="auto"/>
              <w:rPr>
                <w:rFonts w:ascii="Corbel" w:hAnsi="Corbel" w:cs="Arial"/>
                <w:b/>
                <w:bCs/>
                <w:sz w:val="22"/>
                <w:szCs w:val="22"/>
                <w:lang w:val="en-GB"/>
              </w:rPr>
            </w:pPr>
            <w:r w:rsidRPr="00EF1F01">
              <w:rPr>
                <w:rFonts w:ascii="Corbel" w:hAnsi="Corbel" w:cs="Arial"/>
                <w:b/>
                <w:bCs/>
                <w:sz w:val="22"/>
                <w:szCs w:val="22"/>
                <w:lang w:val="en-GB"/>
              </w:rPr>
              <w:t>Project Budget:</w:t>
            </w:r>
          </w:p>
        </w:tc>
        <w:tc>
          <w:tcPr>
            <w:tcW w:w="6087" w:type="dxa"/>
            <w:tcBorders>
              <w:top w:val="nil"/>
              <w:left w:val="nil"/>
              <w:bottom w:val="nil"/>
              <w:right w:val="single" w:sz="12" w:space="0" w:color="auto"/>
            </w:tcBorders>
            <w:tcMar>
              <w:top w:w="0" w:type="dxa"/>
              <w:left w:w="108" w:type="dxa"/>
              <w:bottom w:w="0" w:type="dxa"/>
              <w:right w:w="108" w:type="dxa"/>
            </w:tcMar>
          </w:tcPr>
          <w:p w14:paraId="723A9CEC" w14:textId="77777777" w:rsidR="005A6160" w:rsidRDefault="0A7D8B9C" w:rsidP="4F6DD0A6">
            <w:pPr>
              <w:spacing w:after="160" w:line="259" w:lineRule="auto"/>
              <w:rPr>
                <w:rFonts w:ascii="Corbel" w:hAnsi="Corbel" w:cs="Arial"/>
                <w:sz w:val="22"/>
                <w:szCs w:val="22"/>
                <w:lang w:val="en-GB"/>
              </w:rPr>
            </w:pPr>
            <w:r w:rsidRPr="0F3A49C3">
              <w:rPr>
                <w:rFonts w:ascii="Corbel" w:hAnsi="Corbel" w:cs="Arial"/>
                <w:sz w:val="22"/>
                <w:szCs w:val="22"/>
                <w:lang w:val="en-GB"/>
              </w:rPr>
              <w:t>SEK 54,800,000</w:t>
            </w:r>
            <w:r w:rsidR="005A6160">
              <w:rPr>
                <w:rFonts w:ascii="Corbel" w:hAnsi="Corbel" w:cs="Arial"/>
                <w:sz w:val="22"/>
                <w:szCs w:val="22"/>
                <w:lang w:val="en-GB"/>
              </w:rPr>
              <w:t>,</w:t>
            </w:r>
            <w:r w:rsidRPr="0F3A49C3">
              <w:rPr>
                <w:rFonts w:ascii="Corbel" w:hAnsi="Corbel" w:cs="Arial"/>
                <w:sz w:val="22"/>
                <w:szCs w:val="22"/>
                <w:lang w:val="en-GB"/>
              </w:rPr>
              <w:t xml:space="preserve"> the equivalent of USD </w:t>
            </w:r>
            <w:r w:rsidR="5965C544" w:rsidRPr="0F3A49C3">
              <w:rPr>
                <w:rFonts w:ascii="Corbel" w:hAnsi="Corbel" w:cs="Arial"/>
                <w:sz w:val="22"/>
                <w:szCs w:val="22"/>
                <w:lang w:val="en-GB"/>
              </w:rPr>
              <w:t>6,414,496.86</w:t>
            </w:r>
            <w:r w:rsidR="005A6160">
              <w:rPr>
                <w:rFonts w:ascii="Corbel" w:hAnsi="Corbel" w:cs="Arial"/>
                <w:sz w:val="22"/>
                <w:szCs w:val="22"/>
                <w:lang w:val="en-GB"/>
              </w:rPr>
              <w:t>, as per the current cost-sharing agreement</w:t>
            </w:r>
          </w:p>
          <w:p w14:paraId="64D18FF3" w14:textId="13B3D656" w:rsidR="00162895" w:rsidRPr="00EF1F01" w:rsidRDefault="005A6160" w:rsidP="009A1BE2">
            <w:pPr>
              <w:spacing w:after="160" w:line="259" w:lineRule="auto"/>
              <w:rPr>
                <w:rFonts w:ascii="Corbel" w:hAnsi="Corbel" w:cs="Arial"/>
                <w:sz w:val="22"/>
                <w:szCs w:val="22"/>
                <w:lang w:val="en-GB"/>
              </w:rPr>
            </w:pPr>
            <w:r>
              <w:rPr>
                <w:rFonts w:ascii="Corbel" w:hAnsi="Corbel" w:cs="Arial"/>
                <w:sz w:val="22"/>
                <w:szCs w:val="22"/>
                <w:lang w:val="en-GB"/>
              </w:rPr>
              <w:t xml:space="preserve">In addition, </w:t>
            </w:r>
            <w:r w:rsidR="5965C544" w:rsidRPr="0F3A49C3">
              <w:rPr>
                <w:rFonts w:ascii="Corbel" w:hAnsi="Corbel" w:cs="Arial"/>
                <w:sz w:val="22"/>
                <w:szCs w:val="22"/>
                <w:lang w:val="en-GB"/>
              </w:rPr>
              <w:t xml:space="preserve">USD 324,161.76 were transferred from </w:t>
            </w:r>
            <w:r w:rsidR="00553E1A">
              <w:rPr>
                <w:rFonts w:ascii="Corbel" w:hAnsi="Corbel" w:cs="Arial"/>
                <w:sz w:val="22"/>
                <w:szCs w:val="22"/>
                <w:lang w:val="en-GB"/>
              </w:rPr>
              <w:t>the previous</w:t>
            </w:r>
            <w:r w:rsidR="5965C544" w:rsidRPr="0F3A49C3">
              <w:rPr>
                <w:rFonts w:ascii="Corbel" w:hAnsi="Corbel" w:cs="Arial"/>
                <w:sz w:val="22"/>
                <w:szCs w:val="22"/>
                <w:lang w:val="en-GB"/>
              </w:rPr>
              <w:t xml:space="preserve"> </w:t>
            </w:r>
            <w:proofErr w:type="spellStart"/>
            <w:r w:rsidR="0036616E">
              <w:rPr>
                <w:rFonts w:ascii="Corbel" w:hAnsi="Corbel" w:cs="Arial"/>
                <w:sz w:val="22"/>
                <w:szCs w:val="22"/>
                <w:lang w:val="en-GB"/>
              </w:rPr>
              <w:t>Sida</w:t>
            </w:r>
            <w:proofErr w:type="spellEnd"/>
            <w:r w:rsidR="0036616E">
              <w:rPr>
                <w:rFonts w:ascii="Corbel" w:hAnsi="Corbel" w:cs="Arial"/>
                <w:sz w:val="22"/>
                <w:szCs w:val="22"/>
                <w:lang w:val="en-GB"/>
              </w:rPr>
              <w:t xml:space="preserve">-funded </w:t>
            </w:r>
            <w:r w:rsidR="5965C544" w:rsidRPr="0F3A49C3">
              <w:rPr>
                <w:rFonts w:ascii="Corbel" w:hAnsi="Corbel" w:cs="Arial"/>
                <w:sz w:val="22"/>
                <w:szCs w:val="22"/>
                <w:lang w:val="en-GB"/>
              </w:rPr>
              <w:t xml:space="preserve">projects </w:t>
            </w:r>
            <w:r w:rsidR="007D0D6E">
              <w:rPr>
                <w:rFonts w:ascii="Corbel" w:hAnsi="Corbel" w:cs="Arial"/>
                <w:sz w:val="22"/>
                <w:szCs w:val="22"/>
                <w:lang w:val="en-GB"/>
              </w:rPr>
              <w:t>Aid for Trade Initiative fo</w:t>
            </w:r>
            <w:r w:rsidR="007233DC">
              <w:rPr>
                <w:rFonts w:ascii="Corbel" w:hAnsi="Corbel" w:cs="Arial"/>
                <w:sz w:val="22"/>
                <w:szCs w:val="22"/>
                <w:lang w:val="en-GB"/>
              </w:rPr>
              <w:t>r the Arab States (</w:t>
            </w:r>
            <w:proofErr w:type="spellStart"/>
            <w:r w:rsidR="5965C544" w:rsidRPr="0F3A49C3">
              <w:rPr>
                <w:rFonts w:ascii="Corbel" w:hAnsi="Corbel" w:cs="Arial"/>
                <w:sz w:val="22"/>
                <w:szCs w:val="22"/>
                <w:lang w:val="en-GB"/>
              </w:rPr>
              <w:t>A</w:t>
            </w:r>
            <w:r w:rsidR="007233DC">
              <w:rPr>
                <w:rFonts w:ascii="Corbel" w:hAnsi="Corbel" w:cs="Arial"/>
                <w:sz w:val="22"/>
                <w:szCs w:val="22"/>
                <w:lang w:val="en-GB"/>
              </w:rPr>
              <w:t>f</w:t>
            </w:r>
            <w:r w:rsidR="5965C544" w:rsidRPr="0F3A49C3">
              <w:rPr>
                <w:rFonts w:ascii="Corbel" w:hAnsi="Corbel" w:cs="Arial"/>
                <w:sz w:val="22"/>
                <w:szCs w:val="22"/>
                <w:lang w:val="en-GB"/>
              </w:rPr>
              <w:t>TIAS</w:t>
            </w:r>
            <w:proofErr w:type="spellEnd"/>
            <w:r w:rsidR="5965C544" w:rsidRPr="0F3A49C3">
              <w:rPr>
                <w:rFonts w:ascii="Corbel" w:hAnsi="Corbel" w:cs="Arial"/>
                <w:sz w:val="22"/>
                <w:szCs w:val="22"/>
                <w:lang w:val="en-GB"/>
              </w:rPr>
              <w:t xml:space="preserve"> </w:t>
            </w:r>
            <w:r w:rsidR="00072E61">
              <w:rPr>
                <w:rFonts w:ascii="Corbel" w:hAnsi="Corbel" w:cs="Arial"/>
                <w:sz w:val="22"/>
                <w:szCs w:val="22"/>
                <w:lang w:val="en-GB"/>
              </w:rPr>
              <w:t xml:space="preserve">project number </w:t>
            </w:r>
            <w:r w:rsidR="5965C544" w:rsidRPr="0E286879">
              <w:rPr>
                <w:rFonts w:ascii="Corbel" w:hAnsi="Corbel" w:cs="Arial"/>
                <w:sz w:val="22"/>
                <w:szCs w:val="22"/>
                <w:lang w:val="en-GB"/>
              </w:rPr>
              <w:t>00085191</w:t>
            </w:r>
            <w:r w:rsidR="00072E61">
              <w:rPr>
                <w:rFonts w:ascii="Corbel" w:hAnsi="Corbel" w:cs="Arial"/>
                <w:sz w:val="22"/>
                <w:szCs w:val="22"/>
                <w:lang w:val="en-GB"/>
              </w:rPr>
              <w:t>)</w:t>
            </w:r>
            <w:r w:rsidR="5965C544" w:rsidRPr="0E286879">
              <w:rPr>
                <w:rFonts w:ascii="Corbel" w:hAnsi="Corbel" w:cs="Arial"/>
                <w:sz w:val="22"/>
                <w:szCs w:val="22"/>
                <w:lang w:val="en-GB"/>
              </w:rPr>
              <w:t xml:space="preserve"> </w:t>
            </w:r>
            <w:r w:rsidR="5965C544" w:rsidRPr="0F3A49C3">
              <w:rPr>
                <w:rFonts w:ascii="Corbel" w:hAnsi="Corbel" w:cs="Arial"/>
                <w:sz w:val="22"/>
                <w:szCs w:val="22"/>
                <w:lang w:val="en-GB"/>
              </w:rPr>
              <w:t xml:space="preserve">and Trade &amp; SDGs </w:t>
            </w:r>
            <w:r w:rsidR="00072E61">
              <w:rPr>
                <w:rFonts w:ascii="Corbel" w:hAnsi="Corbel" w:cs="Arial"/>
                <w:sz w:val="22"/>
                <w:szCs w:val="22"/>
                <w:lang w:val="en-GB"/>
              </w:rPr>
              <w:t>(</w:t>
            </w:r>
            <w:r w:rsidR="5965C544" w:rsidRPr="0E286879">
              <w:rPr>
                <w:rFonts w:ascii="Corbel" w:hAnsi="Corbel" w:cs="Arial"/>
                <w:sz w:val="22"/>
                <w:szCs w:val="22"/>
                <w:lang w:val="en-GB"/>
              </w:rPr>
              <w:t>00103146</w:t>
            </w:r>
            <w:r w:rsidR="00072E61">
              <w:rPr>
                <w:rFonts w:ascii="Corbel" w:hAnsi="Corbel" w:cs="Arial"/>
                <w:sz w:val="22"/>
                <w:szCs w:val="22"/>
                <w:lang w:val="en-GB"/>
              </w:rPr>
              <w:t>)</w:t>
            </w:r>
            <w:r w:rsidR="5965C544" w:rsidRPr="0E286879">
              <w:rPr>
                <w:rFonts w:ascii="Corbel" w:hAnsi="Corbel" w:cs="Arial"/>
                <w:sz w:val="22"/>
                <w:szCs w:val="22"/>
                <w:lang w:val="en-GB"/>
              </w:rPr>
              <w:t xml:space="preserve"> </w:t>
            </w:r>
            <w:r w:rsidR="5965C544" w:rsidRPr="0F3A49C3">
              <w:rPr>
                <w:rFonts w:ascii="Corbel" w:hAnsi="Corbel" w:cs="Arial"/>
                <w:sz w:val="22"/>
                <w:szCs w:val="22"/>
                <w:lang w:val="en-GB"/>
              </w:rPr>
              <w:t>to AEISD</w:t>
            </w:r>
            <w:r w:rsidR="00782A0D">
              <w:rPr>
                <w:rFonts w:ascii="Corbel" w:hAnsi="Corbel" w:cs="Arial"/>
                <w:sz w:val="22"/>
                <w:szCs w:val="22"/>
                <w:lang w:val="en-GB"/>
              </w:rPr>
              <w:t xml:space="preserve">, </w:t>
            </w:r>
            <w:r w:rsidR="5965C544" w:rsidRPr="0F3A49C3">
              <w:rPr>
                <w:rFonts w:ascii="Corbel" w:hAnsi="Corbel" w:cs="Arial"/>
                <w:sz w:val="22"/>
                <w:szCs w:val="22"/>
                <w:lang w:val="en-GB"/>
              </w:rPr>
              <w:t xml:space="preserve">making the total budget </w:t>
            </w:r>
            <w:r w:rsidR="00782A0D">
              <w:rPr>
                <w:rFonts w:ascii="Corbel" w:hAnsi="Corbel" w:cs="Arial"/>
                <w:sz w:val="22"/>
                <w:szCs w:val="22"/>
                <w:lang w:val="en-GB"/>
              </w:rPr>
              <w:t xml:space="preserve">for the reporting period </w:t>
            </w:r>
            <w:r w:rsidR="5965C544" w:rsidRPr="0F3A49C3">
              <w:rPr>
                <w:rFonts w:ascii="Corbel" w:hAnsi="Corbel" w:cs="Arial"/>
                <w:sz w:val="22"/>
                <w:szCs w:val="22"/>
                <w:lang w:val="en-GB"/>
              </w:rPr>
              <w:t>USD 6,738,658.62</w:t>
            </w:r>
          </w:p>
        </w:tc>
      </w:tr>
      <w:tr w:rsidR="00162895" w:rsidRPr="00EF1F01" w14:paraId="6197A989" w14:textId="77777777" w:rsidTr="0F3A49C3">
        <w:tc>
          <w:tcPr>
            <w:tcW w:w="3258" w:type="dxa"/>
            <w:tcBorders>
              <w:top w:val="nil"/>
              <w:left w:val="single" w:sz="12" w:space="0" w:color="auto"/>
              <w:bottom w:val="nil"/>
              <w:right w:val="nil"/>
            </w:tcBorders>
            <w:tcMar>
              <w:top w:w="0" w:type="dxa"/>
              <w:left w:w="108" w:type="dxa"/>
              <w:bottom w:w="0" w:type="dxa"/>
              <w:right w:w="108" w:type="dxa"/>
            </w:tcMar>
          </w:tcPr>
          <w:p w14:paraId="5D0E615A" w14:textId="77777777" w:rsidR="00162895" w:rsidRPr="00EF1F01" w:rsidRDefault="00162895" w:rsidP="00162895">
            <w:pPr>
              <w:spacing w:after="160" w:line="259" w:lineRule="auto"/>
              <w:rPr>
                <w:rFonts w:ascii="Corbel" w:hAnsi="Corbel" w:cs="Arial"/>
                <w:b/>
                <w:bCs/>
                <w:sz w:val="22"/>
                <w:szCs w:val="22"/>
                <w:lang w:val="en-GB"/>
              </w:rPr>
            </w:pPr>
            <w:r w:rsidRPr="00EF1F01">
              <w:rPr>
                <w:rFonts w:ascii="Corbel" w:hAnsi="Corbel" w:cs="Arial"/>
                <w:b/>
                <w:bCs/>
                <w:sz w:val="22"/>
                <w:szCs w:val="22"/>
                <w:lang w:val="en-GB"/>
              </w:rPr>
              <w:t>Funding Partners / Donors:</w:t>
            </w:r>
          </w:p>
          <w:p w14:paraId="0BB9A6CB" w14:textId="7C3825CF" w:rsidR="00162895" w:rsidRPr="00EF1F01" w:rsidRDefault="00162895" w:rsidP="00162895">
            <w:pPr>
              <w:spacing w:after="160" w:line="259" w:lineRule="auto"/>
              <w:rPr>
                <w:rFonts w:ascii="Corbel" w:hAnsi="Corbel" w:cs="Arial"/>
                <w:b/>
                <w:bCs/>
                <w:sz w:val="22"/>
                <w:szCs w:val="22"/>
                <w:lang w:val="en-GB"/>
              </w:rPr>
            </w:pPr>
            <w:r w:rsidRPr="00EF1F01">
              <w:rPr>
                <w:rFonts w:ascii="Corbel" w:hAnsi="Corbel" w:cs="Arial"/>
                <w:b/>
                <w:bCs/>
                <w:sz w:val="22"/>
                <w:szCs w:val="22"/>
                <w:lang w:val="en-GB"/>
              </w:rPr>
              <w:t>Reporting Period:</w:t>
            </w:r>
          </w:p>
        </w:tc>
        <w:tc>
          <w:tcPr>
            <w:tcW w:w="6087" w:type="dxa"/>
            <w:tcBorders>
              <w:top w:val="nil"/>
              <w:left w:val="nil"/>
              <w:bottom w:val="nil"/>
              <w:right w:val="single" w:sz="12" w:space="0" w:color="auto"/>
            </w:tcBorders>
            <w:tcMar>
              <w:top w:w="0" w:type="dxa"/>
              <w:left w:w="108" w:type="dxa"/>
              <w:bottom w:w="0" w:type="dxa"/>
              <w:right w:w="108" w:type="dxa"/>
            </w:tcMar>
          </w:tcPr>
          <w:p w14:paraId="096B0DDC" w14:textId="68E8766C" w:rsidR="00162895" w:rsidRPr="00EF1F01" w:rsidRDefault="00162895" w:rsidP="00162895">
            <w:pPr>
              <w:spacing w:after="160" w:line="259" w:lineRule="auto"/>
              <w:rPr>
                <w:rFonts w:ascii="Corbel" w:hAnsi="Corbel" w:cs="Arial"/>
                <w:bCs/>
                <w:sz w:val="22"/>
                <w:szCs w:val="22"/>
                <w:lang w:val="en-GB"/>
              </w:rPr>
            </w:pPr>
            <w:r w:rsidRPr="00EF1F01">
              <w:rPr>
                <w:rFonts w:ascii="Corbel" w:hAnsi="Corbel" w:cs="Arial"/>
                <w:bCs/>
                <w:sz w:val="22"/>
                <w:szCs w:val="22"/>
                <w:lang w:val="en-GB"/>
              </w:rPr>
              <w:t>S</w:t>
            </w:r>
            <w:r w:rsidR="00190757" w:rsidRPr="00EF1F01">
              <w:rPr>
                <w:rFonts w:ascii="Corbel" w:hAnsi="Corbel" w:cs="Arial"/>
                <w:bCs/>
                <w:sz w:val="22"/>
                <w:szCs w:val="22"/>
                <w:lang w:val="en-GB"/>
              </w:rPr>
              <w:t>wedish International Development Cooperation Agency (</w:t>
            </w:r>
            <w:proofErr w:type="spellStart"/>
            <w:r w:rsidR="00427B97" w:rsidRPr="00EF1F01">
              <w:rPr>
                <w:rFonts w:ascii="Corbel" w:hAnsi="Corbel" w:cs="Arial"/>
                <w:bCs/>
                <w:sz w:val="22"/>
                <w:szCs w:val="22"/>
                <w:lang w:val="en-GB"/>
              </w:rPr>
              <w:t>Sida</w:t>
            </w:r>
            <w:proofErr w:type="spellEnd"/>
            <w:r w:rsidR="00190757" w:rsidRPr="00EF1F01">
              <w:rPr>
                <w:rFonts w:ascii="Corbel" w:hAnsi="Corbel" w:cs="Arial"/>
                <w:bCs/>
                <w:sz w:val="22"/>
                <w:szCs w:val="22"/>
                <w:lang w:val="en-GB"/>
              </w:rPr>
              <w:t>)</w:t>
            </w:r>
          </w:p>
          <w:p w14:paraId="015CD658" w14:textId="57D1557F" w:rsidR="00162895" w:rsidRPr="00EF1F01" w:rsidRDefault="004E6FA3" w:rsidP="00162895">
            <w:pPr>
              <w:spacing w:after="160" w:line="259" w:lineRule="auto"/>
              <w:rPr>
                <w:rFonts w:ascii="Corbel" w:hAnsi="Corbel" w:cs="Arial"/>
                <w:bCs/>
                <w:sz w:val="22"/>
                <w:szCs w:val="22"/>
                <w:lang w:val="en-GB"/>
              </w:rPr>
            </w:pPr>
            <w:r>
              <w:rPr>
                <w:rFonts w:ascii="Corbel" w:hAnsi="Corbel" w:cs="Arial"/>
                <w:bCs/>
                <w:sz w:val="22"/>
                <w:szCs w:val="22"/>
                <w:lang w:val="en-GB"/>
              </w:rPr>
              <w:t xml:space="preserve">1 November </w:t>
            </w:r>
            <w:r w:rsidR="00162895" w:rsidRPr="00EF1F01">
              <w:rPr>
                <w:rFonts w:ascii="Corbel" w:hAnsi="Corbel" w:cs="Arial"/>
                <w:bCs/>
                <w:sz w:val="22"/>
                <w:szCs w:val="22"/>
                <w:lang w:val="en-GB"/>
              </w:rPr>
              <w:t>20</w:t>
            </w:r>
            <w:r w:rsidR="00C27FB6">
              <w:rPr>
                <w:rFonts w:ascii="Corbel" w:hAnsi="Corbel" w:cs="Arial"/>
                <w:bCs/>
                <w:sz w:val="22"/>
                <w:szCs w:val="22"/>
                <w:lang w:val="en-GB"/>
              </w:rPr>
              <w:t>17</w:t>
            </w:r>
            <w:r w:rsidR="00162895" w:rsidRPr="00EF1F01">
              <w:rPr>
                <w:rFonts w:ascii="Corbel" w:hAnsi="Corbel" w:cs="Arial"/>
                <w:bCs/>
                <w:sz w:val="22"/>
                <w:szCs w:val="22"/>
                <w:lang w:val="en-GB"/>
              </w:rPr>
              <w:t xml:space="preserve"> </w:t>
            </w:r>
            <w:r>
              <w:rPr>
                <w:rFonts w:ascii="Corbel" w:hAnsi="Corbel" w:cs="Arial"/>
                <w:bCs/>
                <w:sz w:val="22"/>
                <w:szCs w:val="22"/>
                <w:lang w:val="en-GB"/>
              </w:rPr>
              <w:t>- 31</w:t>
            </w:r>
            <w:r w:rsidR="00162895" w:rsidRPr="00EF1F01">
              <w:rPr>
                <w:rFonts w:ascii="Corbel" w:hAnsi="Corbel" w:cs="Arial"/>
                <w:bCs/>
                <w:sz w:val="22"/>
                <w:szCs w:val="22"/>
                <w:lang w:val="en-GB"/>
              </w:rPr>
              <w:t xml:space="preserve"> </w:t>
            </w:r>
            <w:r w:rsidR="004B15EA">
              <w:rPr>
                <w:rFonts w:ascii="Corbel" w:hAnsi="Corbel" w:cs="Arial"/>
                <w:bCs/>
                <w:sz w:val="22"/>
                <w:szCs w:val="22"/>
                <w:lang w:val="en-GB"/>
              </w:rPr>
              <w:t>March 202</w:t>
            </w:r>
            <w:r>
              <w:rPr>
                <w:rFonts w:ascii="Corbel" w:hAnsi="Corbel" w:cs="Arial"/>
                <w:bCs/>
                <w:sz w:val="22"/>
                <w:szCs w:val="22"/>
                <w:lang w:val="en-GB"/>
              </w:rPr>
              <w:t>2</w:t>
            </w:r>
          </w:p>
        </w:tc>
      </w:tr>
      <w:tr w:rsidR="00162895" w:rsidRPr="00A06682" w14:paraId="032414F1" w14:textId="77777777" w:rsidTr="0F3A49C3">
        <w:trPr>
          <w:trHeight w:val="348"/>
        </w:trPr>
        <w:tc>
          <w:tcPr>
            <w:tcW w:w="3258" w:type="dxa"/>
            <w:tcBorders>
              <w:top w:val="nil"/>
              <w:left w:val="single" w:sz="12" w:space="0" w:color="auto"/>
              <w:bottom w:val="single" w:sz="12" w:space="0" w:color="auto"/>
              <w:right w:val="nil"/>
            </w:tcBorders>
            <w:tcMar>
              <w:top w:w="0" w:type="dxa"/>
              <w:left w:w="108" w:type="dxa"/>
              <w:bottom w:w="0" w:type="dxa"/>
              <w:right w:w="108" w:type="dxa"/>
            </w:tcMar>
          </w:tcPr>
          <w:p w14:paraId="124FD61F" w14:textId="16858124" w:rsidR="00162895" w:rsidRPr="00EF1F01" w:rsidRDefault="00162895" w:rsidP="00162895">
            <w:pPr>
              <w:spacing w:after="160" w:line="259" w:lineRule="auto"/>
              <w:rPr>
                <w:rFonts w:ascii="Corbel" w:hAnsi="Corbel" w:cs="Arial"/>
                <w:b/>
                <w:bCs/>
                <w:sz w:val="22"/>
                <w:szCs w:val="22"/>
                <w:lang w:val="en-GB"/>
              </w:rPr>
            </w:pPr>
            <w:r w:rsidRPr="00EF1F01">
              <w:rPr>
                <w:rFonts w:ascii="Corbel" w:hAnsi="Corbel" w:cs="Arial"/>
                <w:b/>
                <w:bCs/>
                <w:sz w:val="22"/>
                <w:szCs w:val="22"/>
                <w:lang w:val="en-GB"/>
              </w:rPr>
              <w:t>Contact Person:</w:t>
            </w:r>
          </w:p>
        </w:tc>
        <w:tc>
          <w:tcPr>
            <w:tcW w:w="6087" w:type="dxa"/>
            <w:tcBorders>
              <w:top w:val="nil"/>
              <w:left w:val="nil"/>
              <w:bottom w:val="single" w:sz="12" w:space="0" w:color="auto"/>
              <w:right w:val="single" w:sz="12" w:space="0" w:color="auto"/>
            </w:tcBorders>
            <w:tcMar>
              <w:top w:w="0" w:type="dxa"/>
              <w:left w:w="108" w:type="dxa"/>
              <w:bottom w:w="0" w:type="dxa"/>
              <w:right w:w="108" w:type="dxa"/>
            </w:tcMar>
            <w:hideMark/>
          </w:tcPr>
          <w:p w14:paraId="1BD6310A" w14:textId="43761139" w:rsidR="00162895" w:rsidRPr="002A1BA3" w:rsidRDefault="002A1BA3" w:rsidP="00162895">
            <w:pPr>
              <w:spacing w:after="160" w:line="259" w:lineRule="auto"/>
              <w:rPr>
                <w:rFonts w:ascii="Corbel" w:hAnsi="Corbel" w:cs="Arial"/>
                <w:bCs/>
                <w:sz w:val="22"/>
                <w:szCs w:val="22"/>
                <w:lang w:val="it-IT"/>
              </w:rPr>
            </w:pPr>
            <w:r w:rsidRPr="002A1BA3">
              <w:rPr>
                <w:rFonts w:ascii="Corbel" w:hAnsi="Corbel" w:cs="Arial"/>
                <w:bCs/>
                <w:sz w:val="22"/>
                <w:szCs w:val="22"/>
                <w:lang w:val="it-IT"/>
              </w:rPr>
              <w:t>Paola Pagliani</w:t>
            </w:r>
            <w:r w:rsidR="00162895" w:rsidRPr="002A1BA3">
              <w:rPr>
                <w:rFonts w:ascii="Corbel" w:hAnsi="Corbel" w:cs="Arial"/>
                <w:bCs/>
                <w:sz w:val="22"/>
                <w:szCs w:val="22"/>
                <w:lang w:val="it-IT"/>
              </w:rPr>
              <w:t xml:space="preserve">, </w:t>
            </w:r>
            <w:r w:rsidRPr="002A1BA3">
              <w:rPr>
                <w:rFonts w:ascii="Corbel" w:hAnsi="Corbel" w:cs="Arial"/>
                <w:bCs/>
                <w:sz w:val="22"/>
                <w:szCs w:val="22"/>
                <w:lang w:val="it-IT"/>
              </w:rPr>
              <w:t>Regional Programme Coordinator</w:t>
            </w:r>
            <w:r w:rsidR="00190757" w:rsidRPr="002A1BA3">
              <w:rPr>
                <w:rFonts w:ascii="Corbel" w:hAnsi="Corbel" w:cs="Arial"/>
                <w:bCs/>
                <w:sz w:val="22"/>
                <w:szCs w:val="22"/>
                <w:lang w:val="it-IT"/>
              </w:rPr>
              <w:t xml:space="preserve">, </w:t>
            </w:r>
            <w:r>
              <w:rPr>
                <w:rFonts w:ascii="Corbel" w:hAnsi="Corbel" w:cs="Arial"/>
                <w:bCs/>
                <w:sz w:val="22"/>
                <w:szCs w:val="22"/>
                <w:lang w:val="it-IT"/>
              </w:rPr>
              <w:t>paola.pagliani</w:t>
            </w:r>
            <w:r w:rsidR="00190757" w:rsidRPr="002A1BA3">
              <w:rPr>
                <w:rFonts w:ascii="Corbel" w:hAnsi="Corbel" w:cs="Arial"/>
                <w:bCs/>
                <w:sz w:val="22"/>
                <w:szCs w:val="22"/>
                <w:lang w:val="it-IT"/>
              </w:rPr>
              <w:t>@undp.org</w:t>
            </w:r>
          </w:p>
        </w:tc>
      </w:tr>
    </w:tbl>
    <w:p w14:paraId="45641E3F" w14:textId="7A323E8A" w:rsidR="004E6EE2" w:rsidRDefault="004E6EE2" w:rsidP="00EA2962">
      <w:pPr>
        <w:pStyle w:val="ListParagraph"/>
        <w:ind w:left="0"/>
        <w:rPr>
          <w:rFonts w:ascii="Corbel" w:eastAsia="MS Mincho" w:hAnsi="Corbel" w:cs="Arial"/>
          <w:b/>
          <w:color w:val="1F497D"/>
          <w:sz w:val="28"/>
          <w:szCs w:val="28"/>
          <w:lang w:val="it-IT" w:eastAsia="ja-JP"/>
        </w:rPr>
      </w:pPr>
    </w:p>
    <w:p w14:paraId="7496281E" w14:textId="3F8E0DFF" w:rsidR="007503D1" w:rsidRDefault="007503D1" w:rsidP="00EA2962">
      <w:pPr>
        <w:pStyle w:val="ListParagraph"/>
        <w:ind w:left="0"/>
        <w:rPr>
          <w:rFonts w:ascii="Corbel" w:eastAsia="MS Mincho" w:hAnsi="Corbel" w:cs="Arial"/>
          <w:b/>
          <w:color w:val="1F497D"/>
          <w:sz w:val="28"/>
          <w:szCs w:val="28"/>
          <w:lang w:val="it-IT" w:eastAsia="ja-JP"/>
        </w:rPr>
      </w:pPr>
    </w:p>
    <w:p w14:paraId="47BBB64B" w14:textId="77777777" w:rsidR="007503D1" w:rsidRPr="004E6EE2" w:rsidRDefault="007503D1" w:rsidP="00EA2962">
      <w:pPr>
        <w:pStyle w:val="ListParagraph"/>
        <w:ind w:left="0"/>
        <w:rPr>
          <w:rFonts w:ascii="Corbel" w:eastAsia="MS Mincho" w:hAnsi="Corbel" w:cs="Arial"/>
          <w:b/>
          <w:color w:val="1F497D"/>
          <w:sz w:val="28"/>
          <w:szCs w:val="28"/>
          <w:lang w:val="it-IT" w:eastAsia="ja-JP"/>
        </w:rPr>
      </w:pPr>
    </w:p>
    <w:p w14:paraId="25B5565B" w14:textId="77777777" w:rsidR="009A1BE2" w:rsidRPr="00A06682" w:rsidRDefault="009A1BE2" w:rsidP="00EA2962">
      <w:pPr>
        <w:pStyle w:val="ListParagraph"/>
        <w:ind w:left="0"/>
        <w:rPr>
          <w:rFonts w:ascii="Corbel" w:eastAsia="MS Mincho" w:hAnsi="Corbel" w:cs="Arial"/>
          <w:b/>
          <w:color w:val="1F497D"/>
          <w:sz w:val="28"/>
          <w:szCs w:val="28"/>
          <w:lang w:val="it-IT" w:eastAsia="ja-JP"/>
        </w:rPr>
      </w:pPr>
    </w:p>
    <w:p w14:paraId="036AF0F0" w14:textId="75324CB3" w:rsidR="006B0754" w:rsidRPr="00EF1F01" w:rsidRDefault="006B0754" w:rsidP="00EA2962">
      <w:pPr>
        <w:pStyle w:val="ListParagraph"/>
        <w:ind w:left="0"/>
        <w:rPr>
          <w:rFonts w:ascii="Corbel" w:eastAsia="MS Mincho" w:hAnsi="Corbel" w:cs="Arial"/>
          <w:b/>
          <w:color w:val="1F497D"/>
          <w:sz w:val="28"/>
          <w:szCs w:val="28"/>
          <w:lang w:val="en-GB" w:eastAsia="ja-JP"/>
        </w:rPr>
      </w:pPr>
      <w:r w:rsidRPr="00EF1F01">
        <w:rPr>
          <w:rFonts w:ascii="Corbel" w:eastAsia="MS Mincho" w:hAnsi="Corbel" w:cs="Arial"/>
          <w:b/>
          <w:color w:val="1F497D"/>
          <w:sz w:val="28"/>
          <w:szCs w:val="28"/>
          <w:lang w:val="en-GB" w:eastAsia="ja-JP"/>
        </w:rPr>
        <w:lastRenderedPageBreak/>
        <w:t>Table of Contents</w:t>
      </w:r>
    </w:p>
    <w:sdt>
      <w:sdtPr>
        <w:rPr>
          <w:rFonts w:ascii="Times New Roman" w:eastAsia="MS Mincho" w:hAnsi="Times New Roman" w:cs="Times New Roman"/>
          <w:color w:val="auto"/>
          <w:sz w:val="24"/>
          <w:szCs w:val="24"/>
          <w:lang w:eastAsia="ja-JP"/>
        </w:rPr>
        <w:id w:val="-1696924833"/>
        <w:docPartObj>
          <w:docPartGallery w:val="Table of Contents"/>
          <w:docPartUnique/>
        </w:docPartObj>
      </w:sdtPr>
      <w:sdtEndPr>
        <w:rPr>
          <w:noProof/>
        </w:rPr>
      </w:sdtEndPr>
      <w:sdtContent>
        <w:p w14:paraId="2695B89C" w14:textId="0CC2BFD1" w:rsidR="009A1BE2" w:rsidRDefault="009A1BE2">
          <w:pPr>
            <w:pStyle w:val="TOCHeading"/>
          </w:pPr>
        </w:p>
        <w:p w14:paraId="7AC2CF06" w14:textId="06BD9F39" w:rsidR="009A1BE2" w:rsidRPr="00CD0CF3" w:rsidRDefault="009A1BE2" w:rsidP="00CD0CF3">
          <w:pPr>
            <w:pStyle w:val="TOC1"/>
            <w:rPr>
              <w:rFonts w:ascii="Corbel" w:eastAsiaTheme="minorEastAsia" w:hAnsi="Corbel" w:cstheme="minorBidi"/>
              <w:noProof/>
              <w:sz w:val="22"/>
              <w:szCs w:val="22"/>
              <w:lang w:eastAsia="en-US"/>
            </w:rPr>
          </w:pPr>
          <w:r w:rsidRPr="00CD0CF3">
            <w:rPr>
              <w:rFonts w:ascii="Corbel" w:hAnsi="Corbel"/>
              <w:sz w:val="22"/>
              <w:szCs w:val="22"/>
            </w:rPr>
            <w:fldChar w:fldCharType="begin"/>
          </w:r>
          <w:r w:rsidRPr="00CD0CF3">
            <w:rPr>
              <w:rFonts w:ascii="Corbel" w:hAnsi="Corbel"/>
              <w:sz w:val="22"/>
              <w:szCs w:val="22"/>
            </w:rPr>
            <w:instrText xml:space="preserve"> TOC \o "1-3" \h \z \u </w:instrText>
          </w:r>
          <w:r w:rsidRPr="00CD0CF3">
            <w:rPr>
              <w:rFonts w:ascii="Corbel" w:hAnsi="Corbel"/>
              <w:sz w:val="22"/>
              <w:szCs w:val="22"/>
            </w:rPr>
            <w:fldChar w:fldCharType="separate"/>
          </w:r>
          <w:hyperlink w:anchor="_Toc103506548" w:history="1">
            <w:r w:rsidRPr="00CD0CF3">
              <w:rPr>
                <w:rStyle w:val="Hyperlink"/>
                <w:rFonts w:ascii="Corbel" w:hAnsi="Corbel"/>
                <w:noProof/>
                <w:sz w:val="22"/>
                <w:szCs w:val="22"/>
                <w:lang w:val="en-GB"/>
              </w:rPr>
              <w:t>I.</w:t>
            </w:r>
            <w:r w:rsidRPr="00CD0CF3">
              <w:rPr>
                <w:rFonts w:ascii="Corbel" w:eastAsiaTheme="minorEastAsia" w:hAnsi="Corbel" w:cstheme="minorBidi"/>
                <w:noProof/>
                <w:sz w:val="22"/>
                <w:szCs w:val="22"/>
                <w:lang w:eastAsia="en-US"/>
              </w:rPr>
              <w:tab/>
            </w:r>
            <w:r w:rsidRPr="00CD0CF3">
              <w:rPr>
                <w:rStyle w:val="Hyperlink"/>
                <w:rFonts w:ascii="Corbel" w:hAnsi="Corbel"/>
                <w:noProof/>
                <w:sz w:val="22"/>
                <w:szCs w:val="22"/>
                <w:lang w:val="en-GB"/>
              </w:rPr>
              <w:t>Executive Summary</w:t>
            </w:r>
            <w:r w:rsidRPr="00CD0CF3">
              <w:rPr>
                <w:rFonts w:ascii="Corbel" w:hAnsi="Corbel"/>
                <w:noProof/>
                <w:webHidden/>
                <w:sz w:val="22"/>
                <w:szCs w:val="22"/>
              </w:rPr>
              <w:tab/>
            </w:r>
            <w:r w:rsidRPr="00CD0CF3">
              <w:rPr>
                <w:rFonts w:ascii="Corbel" w:hAnsi="Corbel"/>
                <w:noProof/>
                <w:webHidden/>
                <w:sz w:val="22"/>
                <w:szCs w:val="22"/>
              </w:rPr>
              <w:fldChar w:fldCharType="begin"/>
            </w:r>
            <w:r w:rsidRPr="00CD0CF3">
              <w:rPr>
                <w:rFonts w:ascii="Corbel" w:hAnsi="Corbel"/>
                <w:noProof/>
                <w:webHidden/>
                <w:sz w:val="22"/>
                <w:szCs w:val="22"/>
              </w:rPr>
              <w:instrText xml:space="preserve"> PAGEREF _Toc103506548 \h </w:instrText>
            </w:r>
            <w:r w:rsidRPr="00CD0CF3">
              <w:rPr>
                <w:rFonts w:ascii="Corbel" w:hAnsi="Corbel"/>
                <w:noProof/>
                <w:webHidden/>
                <w:sz w:val="22"/>
                <w:szCs w:val="22"/>
              </w:rPr>
            </w:r>
            <w:r w:rsidRPr="00CD0CF3">
              <w:rPr>
                <w:rFonts w:ascii="Corbel" w:hAnsi="Corbel"/>
                <w:noProof/>
                <w:webHidden/>
                <w:sz w:val="22"/>
                <w:szCs w:val="22"/>
              </w:rPr>
              <w:fldChar w:fldCharType="separate"/>
            </w:r>
            <w:r w:rsidRPr="00CD0CF3">
              <w:rPr>
                <w:rFonts w:ascii="Corbel" w:hAnsi="Corbel"/>
                <w:noProof/>
                <w:webHidden/>
                <w:sz w:val="22"/>
                <w:szCs w:val="22"/>
              </w:rPr>
              <w:t>4</w:t>
            </w:r>
            <w:r w:rsidRPr="00CD0CF3">
              <w:rPr>
                <w:rFonts w:ascii="Corbel" w:hAnsi="Corbel"/>
                <w:noProof/>
                <w:webHidden/>
                <w:sz w:val="22"/>
                <w:szCs w:val="22"/>
              </w:rPr>
              <w:fldChar w:fldCharType="end"/>
            </w:r>
          </w:hyperlink>
        </w:p>
        <w:p w14:paraId="4A0427D8" w14:textId="0765A2D7" w:rsidR="009A1BE2" w:rsidRPr="00CD0CF3" w:rsidRDefault="00A06682" w:rsidP="00CD0CF3">
          <w:pPr>
            <w:pStyle w:val="TOC1"/>
            <w:rPr>
              <w:rFonts w:ascii="Corbel" w:eastAsiaTheme="minorEastAsia" w:hAnsi="Corbel" w:cstheme="minorBidi"/>
              <w:noProof/>
              <w:sz w:val="22"/>
              <w:szCs w:val="22"/>
              <w:lang w:eastAsia="en-US"/>
            </w:rPr>
          </w:pPr>
          <w:hyperlink w:anchor="_Toc103506565" w:history="1">
            <w:r w:rsidR="009A1BE2" w:rsidRPr="00CD0CF3">
              <w:rPr>
                <w:rStyle w:val="Hyperlink"/>
                <w:rFonts w:ascii="Corbel" w:hAnsi="Corbel"/>
                <w:noProof/>
                <w:sz w:val="22"/>
                <w:szCs w:val="22"/>
                <w:lang w:val="en-GB"/>
              </w:rPr>
              <w:t>II.</w:t>
            </w:r>
            <w:r w:rsidR="009A1BE2" w:rsidRPr="00CD0CF3">
              <w:rPr>
                <w:rFonts w:ascii="Corbel" w:eastAsiaTheme="minorEastAsia" w:hAnsi="Corbel" w:cstheme="minorBidi"/>
                <w:noProof/>
                <w:sz w:val="22"/>
                <w:szCs w:val="22"/>
                <w:lang w:eastAsia="en-US"/>
              </w:rPr>
              <w:tab/>
            </w:r>
            <w:r w:rsidR="009A1BE2" w:rsidRPr="00CD0CF3">
              <w:rPr>
                <w:rStyle w:val="Hyperlink"/>
                <w:rFonts w:ascii="Corbel" w:hAnsi="Corbel"/>
                <w:noProof/>
                <w:sz w:val="22"/>
                <w:szCs w:val="22"/>
                <w:lang w:val="en-GB"/>
              </w:rPr>
              <w:t>Introduction</w:t>
            </w:r>
            <w:r w:rsidR="009A1BE2" w:rsidRPr="00CD0CF3">
              <w:rPr>
                <w:rFonts w:ascii="Corbel" w:hAnsi="Corbel"/>
                <w:noProof/>
                <w:webHidden/>
                <w:sz w:val="22"/>
                <w:szCs w:val="22"/>
              </w:rPr>
              <w:tab/>
            </w:r>
            <w:r w:rsidR="009A1BE2" w:rsidRPr="00CD0CF3">
              <w:rPr>
                <w:rFonts w:ascii="Corbel" w:hAnsi="Corbel"/>
                <w:noProof/>
                <w:webHidden/>
                <w:sz w:val="22"/>
                <w:szCs w:val="22"/>
              </w:rPr>
              <w:fldChar w:fldCharType="begin"/>
            </w:r>
            <w:r w:rsidR="009A1BE2" w:rsidRPr="00CD0CF3">
              <w:rPr>
                <w:rFonts w:ascii="Corbel" w:hAnsi="Corbel"/>
                <w:noProof/>
                <w:webHidden/>
                <w:sz w:val="22"/>
                <w:szCs w:val="22"/>
              </w:rPr>
              <w:instrText xml:space="preserve"> PAGEREF _Toc103506565 \h </w:instrText>
            </w:r>
            <w:r w:rsidR="009A1BE2" w:rsidRPr="00CD0CF3">
              <w:rPr>
                <w:rFonts w:ascii="Corbel" w:hAnsi="Corbel"/>
                <w:noProof/>
                <w:webHidden/>
                <w:sz w:val="22"/>
                <w:szCs w:val="22"/>
              </w:rPr>
            </w:r>
            <w:r w:rsidR="009A1BE2" w:rsidRPr="00CD0CF3">
              <w:rPr>
                <w:rFonts w:ascii="Corbel" w:hAnsi="Corbel"/>
                <w:noProof/>
                <w:webHidden/>
                <w:sz w:val="22"/>
                <w:szCs w:val="22"/>
              </w:rPr>
              <w:fldChar w:fldCharType="separate"/>
            </w:r>
            <w:r w:rsidR="009A1BE2" w:rsidRPr="00CD0CF3">
              <w:rPr>
                <w:rFonts w:ascii="Corbel" w:hAnsi="Corbel"/>
                <w:noProof/>
                <w:webHidden/>
                <w:sz w:val="22"/>
                <w:szCs w:val="22"/>
              </w:rPr>
              <w:t>8</w:t>
            </w:r>
            <w:r w:rsidR="009A1BE2" w:rsidRPr="00CD0CF3">
              <w:rPr>
                <w:rFonts w:ascii="Corbel" w:hAnsi="Corbel"/>
                <w:noProof/>
                <w:webHidden/>
                <w:sz w:val="22"/>
                <w:szCs w:val="22"/>
              </w:rPr>
              <w:fldChar w:fldCharType="end"/>
            </w:r>
          </w:hyperlink>
        </w:p>
        <w:p w14:paraId="1C795560" w14:textId="67086B18" w:rsidR="009A1BE2" w:rsidRPr="00CD0CF3" w:rsidRDefault="00A06682">
          <w:pPr>
            <w:pStyle w:val="TOC1"/>
            <w:rPr>
              <w:rFonts w:ascii="Corbel" w:eastAsiaTheme="minorEastAsia" w:hAnsi="Corbel" w:cstheme="minorBidi"/>
              <w:noProof/>
              <w:sz w:val="22"/>
              <w:szCs w:val="22"/>
              <w:lang w:eastAsia="en-US"/>
            </w:rPr>
          </w:pPr>
          <w:hyperlink w:anchor="_Toc103506581" w:history="1">
            <w:r w:rsidR="009A1BE2" w:rsidRPr="00CD0CF3">
              <w:rPr>
                <w:rStyle w:val="Hyperlink"/>
                <w:rFonts w:ascii="Corbel" w:hAnsi="Corbel"/>
                <w:noProof/>
                <w:sz w:val="22"/>
                <w:szCs w:val="22"/>
                <w:lang w:val="en-GB"/>
              </w:rPr>
              <w:t>III.</w:t>
            </w:r>
            <w:r w:rsidR="009A1BE2" w:rsidRPr="00CD0CF3">
              <w:rPr>
                <w:rFonts w:ascii="Corbel" w:eastAsiaTheme="minorEastAsia" w:hAnsi="Corbel" w:cstheme="minorBidi"/>
                <w:noProof/>
                <w:sz w:val="22"/>
                <w:szCs w:val="22"/>
                <w:lang w:eastAsia="en-US"/>
              </w:rPr>
              <w:tab/>
            </w:r>
            <w:r w:rsidR="009A1BE2" w:rsidRPr="00CD0CF3">
              <w:rPr>
                <w:rStyle w:val="Hyperlink"/>
                <w:rFonts w:ascii="Corbel" w:hAnsi="Corbel"/>
                <w:noProof/>
                <w:sz w:val="22"/>
                <w:szCs w:val="22"/>
                <w:lang w:val="en-GB"/>
              </w:rPr>
              <w:t>Progress Review: Key Activities and Results</w:t>
            </w:r>
            <w:r w:rsidR="00CD0CF3">
              <w:rPr>
                <w:rStyle w:val="Hyperlink"/>
                <w:rFonts w:ascii="Corbel" w:hAnsi="Corbel"/>
                <w:noProof/>
                <w:sz w:val="22"/>
                <w:szCs w:val="22"/>
                <w:lang w:val="en-GB"/>
              </w:rPr>
              <w:t>………………………………………………………………………</w:t>
            </w:r>
            <w:r w:rsidR="009A1BE2" w:rsidRPr="00CD0CF3">
              <w:rPr>
                <w:rFonts w:ascii="Corbel" w:hAnsi="Corbel"/>
                <w:noProof/>
                <w:webHidden/>
                <w:sz w:val="22"/>
                <w:szCs w:val="22"/>
              </w:rPr>
              <w:fldChar w:fldCharType="begin"/>
            </w:r>
            <w:r w:rsidR="009A1BE2" w:rsidRPr="00CD0CF3">
              <w:rPr>
                <w:rFonts w:ascii="Corbel" w:hAnsi="Corbel"/>
                <w:noProof/>
                <w:webHidden/>
                <w:sz w:val="22"/>
                <w:szCs w:val="22"/>
              </w:rPr>
              <w:instrText xml:space="preserve"> PAGEREF _Toc103506581 \h </w:instrText>
            </w:r>
            <w:r w:rsidR="009A1BE2" w:rsidRPr="00CD0CF3">
              <w:rPr>
                <w:rFonts w:ascii="Corbel" w:hAnsi="Corbel"/>
                <w:noProof/>
                <w:webHidden/>
                <w:sz w:val="22"/>
                <w:szCs w:val="22"/>
              </w:rPr>
            </w:r>
            <w:r w:rsidR="009A1BE2" w:rsidRPr="00CD0CF3">
              <w:rPr>
                <w:rFonts w:ascii="Corbel" w:hAnsi="Corbel"/>
                <w:noProof/>
                <w:webHidden/>
                <w:sz w:val="22"/>
                <w:szCs w:val="22"/>
              </w:rPr>
              <w:fldChar w:fldCharType="separate"/>
            </w:r>
            <w:r w:rsidR="009A1BE2" w:rsidRPr="00CD0CF3">
              <w:rPr>
                <w:rFonts w:ascii="Corbel" w:hAnsi="Corbel"/>
                <w:noProof/>
                <w:webHidden/>
                <w:sz w:val="22"/>
                <w:szCs w:val="22"/>
              </w:rPr>
              <w:t>10</w:t>
            </w:r>
            <w:r w:rsidR="009A1BE2" w:rsidRPr="00CD0CF3">
              <w:rPr>
                <w:rFonts w:ascii="Corbel" w:hAnsi="Corbel"/>
                <w:noProof/>
                <w:webHidden/>
                <w:sz w:val="22"/>
                <w:szCs w:val="22"/>
              </w:rPr>
              <w:fldChar w:fldCharType="end"/>
            </w:r>
          </w:hyperlink>
        </w:p>
        <w:p w14:paraId="75CCF76C" w14:textId="46CFE829" w:rsidR="009A1BE2" w:rsidRPr="00CD0CF3" w:rsidRDefault="00A06682">
          <w:pPr>
            <w:pStyle w:val="TOC2"/>
            <w:rPr>
              <w:rFonts w:ascii="Corbel" w:eastAsiaTheme="minorEastAsia" w:hAnsi="Corbel" w:cstheme="minorBidi"/>
              <w:noProof/>
            </w:rPr>
          </w:pPr>
          <w:hyperlink w:anchor="_Toc103506582" w:history="1">
            <w:r w:rsidR="009A1BE2" w:rsidRPr="00CD0CF3">
              <w:rPr>
                <w:rStyle w:val="Hyperlink"/>
                <w:rFonts w:ascii="Corbel" w:hAnsi="Corbel"/>
                <w:noProof/>
                <w:lang w:val="en-GB"/>
              </w:rPr>
              <w:t>Section 1:  Overall progress against the project outcomes</w:t>
            </w:r>
            <w:r w:rsidR="009A1BE2" w:rsidRPr="00CD0CF3">
              <w:rPr>
                <w:rFonts w:ascii="Corbel" w:hAnsi="Corbel"/>
                <w:noProof/>
                <w:webHidden/>
              </w:rPr>
              <w:tab/>
            </w:r>
            <w:r w:rsidR="009A1BE2" w:rsidRPr="00CD0CF3">
              <w:rPr>
                <w:rFonts w:ascii="Corbel" w:hAnsi="Corbel"/>
                <w:noProof/>
                <w:webHidden/>
              </w:rPr>
              <w:fldChar w:fldCharType="begin"/>
            </w:r>
            <w:r w:rsidR="009A1BE2" w:rsidRPr="00CD0CF3">
              <w:rPr>
                <w:rFonts w:ascii="Corbel" w:hAnsi="Corbel"/>
                <w:noProof/>
                <w:webHidden/>
              </w:rPr>
              <w:instrText xml:space="preserve"> PAGEREF _Toc103506582 \h </w:instrText>
            </w:r>
            <w:r w:rsidR="009A1BE2" w:rsidRPr="00CD0CF3">
              <w:rPr>
                <w:rFonts w:ascii="Corbel" w:hAnsi="Corbel"/>
                <w:noProof/>
                <w:webHidden/>
              </w:rPr>
            </w:r>
            <w:r w:rsidR="009A1BE2" w:rsidRPr="00CD0CF3">
              <w:rPr>
                <w:rFonts w:ascii="Corbel" w:hAnsi="Corbel"/>
                <w:noProof/>
                <w:webHidden/>
              </w:rPr>
              <w:fldChar w:fldCharType="separate"/>
            </w:r>
            <w:r w:rsidR="009A1BE2" w:rsidRPr="00CD0CF3">
              <w:rPr>
                <w:rFonts w:ascii="Corbel" w:hAnsi="Corbel"/>
                <w:noProof/>
                <w:webHidden/>
              </w:rPr>
              <w:t>10</w:t>
            </w:r>
            <w:r w:rsidR="009A1BE2" w:rsidRPr="00CD0CF3">
              <w:rPr>
                <w:rFonts w:ascii="Corbel" w:hAnsi="Corbel"/>
                <w:noProof/>
                <w:webHidden/>
              </w:rPr>
              <w:fldChar w:fldCharType="end"/>
            </w:r>
          </w:hyperlink>
        </w:p>
        <w:p w14:paraId="7CE14975" w14:textId="6FCC6149" w:rsidR="009A1BE2" w:rsidRPr="00CD0CF3" w:rsidRDefault="00A06682">
          <w:pPr>
            <w:pStyle w:val="TOC2"/>
            <w:rPr>
              <w:rFonts w:ascii="Corbel" w:eastAsiaTheme="minorEastAsia" w:hAnsi="Corbel" w:cstheme="minorBidi"/>
              <w:noProof/>
            </w:rPr>
          </w:pPr>
          <w:hyperlink w:anchor="_Toc103506611" w:history="1">
            <w:r w:rsidR="009A1BE2" w:rsidRPr="00CD0CF3">
              <w:rPr>
                <w:rStyle w:val="Hyperlink"/>
                <w:rFonts w:ascii="Corbel" w:hAnsi="Corbel"/>
                <w:noProof/>
                <w:lang w:val="en-GB"/>
              </w:rPr>
              <w:t>Section 2: Progress against outputs</w:t>
            </w:r>
            <w:r w:rsidR="009A1BE2" w:rsidRPr="00CD0CF3">
              <w:rPr>
                <w:rFonts w:ascii="Corbel" w:hAnsi="Corbel"/>
                <w:noProof/>
                <w:webHidden/>
              </w:rPr>
              <w:tab/>
            </w:r>
            <w:r w:rsidR="009A1BE2" w:rsidRPr="00CD0CF3">
              <w:rPr>
                <w:rFonts w:ascii="Corbel" w:hAnsi="Corbel"/>
                <w:noProof/>
                <w:webHidden/>
              </w:rPr>
              <w:fldChar w:fldCharType="begin"/>
            </w:r>
            <w:r w:rsidR="009A1BE2" w:rsidRPr="00CD0CF3">
              <w:rPr>
                <w:rFonts w:ascii="Corbel" w:hAnsi="Corbel"/>
                <w:noProof/>
                <w:webHidden/>
              </w:rPr>
              <w:instrText xml:space="preserve"> PAGEREF _Toc103506611 \h </w:instrText>
            </w:r>
            <w:r w:rsidR="009A1BE2" w:rsidRPr="00CD0CF3">
              <w:rPr>
                <w:rFonts w:ascii="Corbel" w:hAnsi="Corbel"/>
                <w:noProof/>
                <w:webHidden/>
              </w:rPr>
            </w:r>
            <w:r w:rsidR="009A1BE2" w:rsidRPr="00CD0CF3">
              <w:rPr>
                <w:rFonts w:ascii="Corbel" w:hAnsi="Corbel"/>
                <w:noProof/>
                <w:webHidden/>
              </w:rPr>
              <w:fldChar w:fldCharType="separate"/>
            </w:r>
            <w:r w:rsidR="009A1BE2" w:rsidRPr="00CD0CF3">
              <w:rPr>
                <w:rFonts w:ascii="Corbel" w:hAnsi="Corbel"/>
                <w:noProof/>
                <w:webHidden/>
              </w:rPr>
              <w:t>14</w:t>
            </w:r>
            <w:r w:rsidR="009A1BE2" w:rsidRPr="00CD0CF3">
              <w:rPr>
                <w:rFonts w:ascii="Corbel" w:hAnsi="Corbel"/>
                <w:noProof/>
                <w:webHidden/>
              </w:rPr>
              <w:fldChar w:fldCharType="end"/>
            </w:r>
          </w:hyperlink>
        </w:p>
        <w:p w14:paraId="3DE7BC15" w14:textId="51DC90E8" w:rsidR="009A1BE2" w:rsidRPr="00CD0CF3" w:rsidRDefault="00A06682" w:rsidP="00CD0CF3">
          <w:pPr>
            <w:pStyle w:val="TOC1"/>
            <w:rPr>
              <w:rFonts w:ascii="Corbel" w:eastAsiaTheme="minorEastAsia" w:hAnsi="Corbel" w:cstheme="minorBidi"/>
              <w:noProof/>
              <w:sz w:val="22"/>
              <w:szCs w:val="22"/>
              <w:lang w:eastAsia="en-US"/>
            </w:rPr>
          </w:pPr>
          <w:hyperlink w:anchor="_Toc103506746" w:history="1">
            <w:r w:rsidR="009A1BE2" w:rsidRPr="00CD0CF3">
              <w:rPr>
                <w:rStyle w:val="Hyperlink"/>
                <w:rFonts w:ascii="Corbel" w:hAnsi="Corbel"/>
                <w:noProof/>
                <w:sz w:val="22"/>
                <w:szCs w:val="22"/>
                <w:lang w:val="en-GB"/>
              </w:rPr>
              <w:t xml:space="preserve">IV. </w:t>
            </w:r>
            <w:r w:rsidR="009A1BE2" w:rsidRPr="00CD0CF3">
              <w:rPr>
                <w:rFonts w:ascii="Corbel" w:eastAsiaTheme="minorEastAsia" w:hAnsi="Corbel" w:cstheme="minorBidi"/>
                <w:noProof/>
                <w:sz w:val="22"/>
                <w:szCs w:val="22"/>
                <w:lang w:eastAsia="en-US"/>
              </w:rPr>
              <w:tab/>
            </w:r>
            <w:r w:rsidR="009A1BE2" w:rsidRPr="00CD0CF3">
              <w:rPr>
                <w:rStyle w:val="Hyperlink"/>
                <w:rFonts w:ascii="Corbel" w:hAnsi="Corbel"/>
                <w:noProof/>
                <w:sz w:val="22"/>
                <w:szCs w:val="22"/>
                <w:lang w:val="en-GB"/>
              </w:rPr>
              <w:t>Lessons Learned and Recommendations</w:t>
            </w:r>
            <w:r w:rsidR="009A1BE2" w:rsidRPr="00CD0CF3">
              <w:rPr>
                <w:rFonts w:ascii="Corbel" w:hAnsi="Corbel"/>
                <w:noProof/>
                <w:webHidden/>
                <w:sz w:val="22"/>
                <w:szCs w:val="22"/>
              </w:rPr>
              <w:tab/>
            </w:r>
            <w:r w:rsidR="009A1BE2" w:rsidRPr="00CD0CF3">
              <w:rPr>
                <w:rFonts w:ascii="Corbel" w:hAnsi="Corbel"/>
                <w:noProof/>
                <w:webHidden/>
                <w:sz w:val="22"/>
                <w:szCs w:val="22"/>
              </w:rPr>
              <w:fldChar w:fldCharType="begin"/>
            </w:r>
            <w:r w:rsidR="009A1BE2" w:rsidRPr="00CD0CF3">
              <w:rPr>
                <w:rFonts w:ascii="Corbel" w:hAnsi="Corbel"/>
                <w:noProof/>
                <w:webHidden/>
                <w:sz w:val="22"/>
                <w:szCs w:val="22"/>
              </w:rPr>
              <w:instrText xml:space="preserve"> PAGEREF _Toc103506746 \h </w:instrText>
            </w:r>
            <w:r w:rsidR="009A1BE2" w:rsidRPr="00CD0CF3">
              <w:rPr>
                <w:rFonts w:ascii="Corbel" w:hAnsi="Corbel"/>
                <w:noProof/>
                <w:webHidden/>
                <w:sz w:val="22"/>
                <w:szCs w:val="22"/>
              </w:rPr>
            </w:r>
            <w:r w:rsidR="009A1BE2" w:rsidRPr="00CD0CF3">
              <w:rPr>
                <w:rFonts w:ascii="Corbel" w:hAnsi="Corbel"/>
                <w:noProof/>
                <w:webHidden/>
                <w:sz w:val="22"/>
                <w:szCs w:val="22"/>
              </w:rPr>
              <w:fldChar w:fldCharType="separate"/>
            </w:r>
            <w:r w:rsidR="009A1BE2" w:rsidRPr="00CD0CF3">
              <w:rPr>
                <w:rFonts w:ascii="Corbel" w:hAnsi="Corbel"/>
                <w:noProof/>
                <w:webHidden/>
                <w:sz w:val="22"/>
                <w:szCs w:val="22"/>
              </w:rPr>
              <w:t>27</w:t>
            </w:r>
            <w:r w:rsidR="009A1BE2" w:rsidRPr="00CD0CF3">
              <w:rPr>
                <w:rFonts w:ascii="Corbel" w:hAnsi="Corbel"/>
                <w:noProof/>
                <w:webHidden/>
                <w:sz w:val="22"/>
                <w:szCs w:val="22"/>
              </w:rPr>
              <w:fldChar w:fldCharType="end"/>
            </w:r>
          </w:hyperlink>
        </w:p>
        <w:p w14:paraId="7E274A57" w14:textId="2780BEDD" w:rsidR="009A1BE2" w:rsidRPr="00CD0CF3" w:rsidRDefault="00A06682">
          <w:pPr>
            <w:pStyle w:val="TOC2"/>
            <w:rPr>
              <w:rFonts w:ascii="Corbel" w:eastAsiaTheme="minorEastAsia" w:hAnsi="Corbel" w:cstheme="minorBidi"/>
              <w:noProof/>
            </w:rPr>
          </w:pPr>
          <w:hyperlink w:anchor="_Toc103506748" w:history="1">
            <w:r w:rsidR="009A1BE2" w:rsidRPr="00CD0CF3">
              <w:rPr>
                <w:rStyle w:val="Hyperlink"/>
                <w:rFonts w:ascii="Corbel" w:hAnsi="Corbel"/>
                <w:noProof/>
                <w:lang w:val="en-GB"/>
              </w:rPr>
              <w:t>Lessons learned collected through project implementation and evaluation</w:t>
            </w:r>
            <w:r w:rsidR="009A1BE2" w:rsidRPr="00CD0CF3">
              <w:rPr>
                <w:rFonts w:ascii="Corbel" w:hAnsi="Corbel"/>
                <w:noProof/>
                <w:webHidden/>
              </w:rPr>
              <w:tab/>
            </w:r>
            <w:r w:rsidR="009A1BE2" w:rsidRPr="00CD0CF3">
              <w:rPr>
                <w:rFonts w:ascii="Corbel" w:hAnsi="Corbel"/>
                <w:noProof/>
                <w:webHidden/>
              </w:rPr>
              <w:fldChar w:fldCharType="begin"/>
            </w:r>
            <w:r w:rsidR="009A1BE2" w:rsidRPr="00CD0CF3">
              <w:rPr>
                <w:rFonts w:ascii="Corbel" w:hAnsi="Corbel"/>
                <w:noProof/>
                <w:webHidden/>
              </w:rPr>
              <w:instrText xml:space="preserve"> PAGEREF _Toc103506748 \h </w:instrText>
            </w:r>
            <w:r w:rsidR="009A1BE2" w:rsidRPr="00CD0CF3">
              <w:rPr>
                <w:rFonts w:ascii="Corbel" w:hAnsi="Corbel"/>
                <w:noProof/>
                <w:webHidden/>
              </w:rPr>
            </w:r>
            <w:r w:rsidR="009A1BE2" w:rsidRPr="00CD0CF3">
              <w:rPr>
                <w:rFonts w:ascii="Corbel" w:hAnsi="Corbel"/>
                <w:noProof/>
                <w:webHidden/>
              </w:rPr>
              <w:fldChar w:fldCharType="separate"/>
            </w:r>
            <w:r w:rsidR="009A1BE2" w:rsidRPr="00CD0CF3">
              <w:rPr>
                <w:rFonts w:ascii="Corbel" w:hAnsi="Corbel"/>
                <w:noProof/>
                <w:webHidden/>
              </w:rPr>
              <w:t>27</w:t>
            </w:r>
            <w:r w:rsidR="009A1BE2" w:rsidRPr="00CD0CF3">
              <w:rPr>
                <w:rFonts w:ascii="Corbel" w:hAnsi="Corbel"/>
                <w:noProof/>
                <w:webHidden/>
              </w:rPr>
              <w:fldChar w:fldCharType="end"/>
            </w:r>
          </w:hyperlink>
        </w:p>
        <w:p w14:paraId="445BEE35" w14:textId="34BA59A0" w:rsidR="009A1BE2" w:rsidRPr="00CD0CF3" w:rsidRDefault="00A06682">
          <w:pPr>
            <w:pStyle w:val="TOC2"/>
            <w:rPr>
              <w:rFonts w:ascii="Corbel" w:eastAsiaTheme="minorEastAsia" w:hAnsi="Corbel" w:cstheme="minorBidi"/>
              <w:noProof/>
            </w:rPr>
          </w:pPr>
          <w:hyperlink w:anchor="_Toc103506749" w:history="1">
            <w:r w:rsidR="009A1BE2" w:rsidRPr="00CD0CF3">
              <w:rPr>
                <w:rStyle w:val="Hyperlink"/>
                <w:rFonts w:ascii="Corbel" w:hAnsi="Corbel"/>
                <w:noProof/>
                <w:lang w:val="en-GB"/>
              </w:rPr>
              <w:t>Recommendations for Future Action</w:t>
            </w:r>
            <w:r w:rsidR="009A1BE2" w:rsidRPr="00CD0CF3">
              <w:rPr>
                <w:rFonts w:ascii="Corbel" w:hAnsi="Corbel"/>
                <w:noProof/>
                <w:webHidden/>
              </w:rPr>
              <w:tab/>
            </w:r>
            <w:r w:rsidR="009A1BE2" w:rsidRPr="00CD0CF3">
              <w:rPr>
                <w:rFonts w:ascii="Corbel" w:hAnsi="Corbel"/>
                <w:noProof/>
                <w:webHidden/>
              </w:rPr>
              <w:fldChar w:fldCharType="begin"/>
            </w:r>
            <w:r w:rsidR="009A1BE2" w:rsidRPr="00CD0CF3">
              <w:rPr>
                <w:rFonts w:ascii="Corbel" w:hAnsi="Corbel"/>
                <w:noProof/>
                <w:webHidden/>
              </w:rPr>
              <w:instrText xml:space="preserve"> PAGEREF _Toc103506749 \h </w:instrText>
            </w:r>
            <w:r w:rsidR="009A1BE2" w:rsidRPr="00CD0CF3">
              <w:rPr>
                <w:rFonts w:ascii="Corbel" w:hAnsi="Corbel"/>
                <w:noProof/>
                <w:webHidden/>
              </w:rPr>
            </w:r>
            <w:r w:rsidR="009A1BE2" w:rsidRPr="00CD0CF3">
              <w:rPr>
                <w:rFonts w:ascii="Corbel" w:hAnsi="Corbel"/>
                <w:noProof/>
                <w:webHidden/>
              </w:rPr>
              <w:fldChar w:fldCharType="separate"/>
            </w:r>
            <w:r w:rsidR="009A1BE2" w:rsidRPr="00CD0CF3">
              <w:rPr>
                <w:rFonts w:ascii="Corbel" w:hAnsi="Corbel"/>
                <w:noProof/>
                <w:webHidden/>
              </w:rPr>
              <w:t>28</w:t>
            </w:r>
            <w:r w:rsidR="009A1BE2" w:rsidRPr="00CD0CF3">
              <w:rPr>
                <w:rFonts w:ascii="Corbel" w:hAnsi="Corbel"/>
                <w:noProof/>
                <w:webHidden/>
              </w:rPr>
              <w:fldChar w:fldCharType="end"/>
            </w:r>
          </w:hyperlink>
        </w:p>
        <w:p w14:paraId="15CE31CF" w14:textId="2D7F8305" w:rsidR="009A1BE2" w:rsidRPr="00CD0CF3" w:rsidRDefault="00A06682">
          <w:pPr>
            <w:pStyle w:val="TOC1"/>
            <w:rPr>
              <w:rFonts w:ascii="Corbel" w:eastAsiaTheme="minorEastAsia" w:hAnsi="Corbel" w:cstheme="minorBidi"/>
              <w:noProof/>
              <w:sz w:val="22"/>
              <w:szCs w:val="22"/>
              <w:lang w:eastAsia="en-US"/>
            </w:rPr>
          </w:pPr>
          <w:hyperlink w:anchor="_Toc103506750" w:history="1">
            <w:r w:rsidR="009A1BE2" w:rsidRPr="00CD0CF3">
              <w:rPr>
                <w:rStyle w:val="Hyperlink"/>
                <w:rFonts w:ascii="Corbel" w:hAnsi="Corbel"/>
                <w:noProof/>
                <w:sz w:val="22"/>
                <w:szCs w:val="22"/>
                <w:lang w:val="en-GB"/>
              </w:rPr>
              <w:t>V. Risks and Mitigation Measures</w:t>
            </w:r>
            <w:r w:rsidR="009A1BE2" w:rsidRPr="00CD0CF3">
              <w:rPr>
                <w:rFonts w:ascii="Corbel" w:hAnsi="Corbel"/>
                <w:noProof/>
                <w:webHidden/>
                <w:sz w:val="22"/>
                <w:szCs w:val="22"/>
              </w:rPr>
              <w:tab/>
            </w:r>
            <w:r w:rsidR="009A1BE2" w:rsidRPr="00CD0CF3">
              <w:rPr>
                <w:rFonts w:ascii="Corbel" w:hAnsi="Corbel"/>
                <w:noProof/>
                <w:webHidden/>
                <w:sz w:val="22"/>
                <w:szCs w:val="22"/>
              </w:rPr>
              <w:fldChar w:fldCharType="begin"/>
            </w:r>
            <w:r w:rsidR="009A1BE2" w:rsidRPr="00CD0CF3">
              <w:rPr>
                <w:rFonts w:ascii="Corbel" w:hAnsi="Corbel"/>
                <w:noProof/>
                <w:webHidden/>
                <w:sz w:val="22"/>
                <w:szCs w:val="22"/>
              </w:rPr>
              <w:instrText xml:space="preserve"> PAGEREF _Toc103506750 \h </w:instrText>
            </w:r>
            <w:r w:rsidR="009A1BE2" w:rsidRPr="00CD0CF3">
              <w:rPr>
                <w:rFonts w:ascii="Corbel" w:hAnsi="Corbel"/>
                <w:noProof/>
                <w:webHidden/>
                <w:sz w:val="22"/>
                <w:szCs w:val="22"/>
              </w:rPr>
            </w:r>
            <w:r w:rsidR="009A1BE2" w:rsidRPr="00CD0CF3">
              <w:rPr>
                <w:rFonts w:ascii="Corbel" w:hAnsi="Corbel"/>
                <w:noProof/>
                <w:webHidden/>
                <w:sz w:val="22"/>
                <w:szCs w:val="22"/>
              </w:rPr>
              <w:fldChar w:fldCharType="separate"/>
            </w:r>
            <w:r w:rsidR="009A1BE2" w:rsidRPr="00CD0CF3">
              <w:rPr>
                <w:rFonts w:ascii="Corbel" w:hAnsi="Corbel"/>
                <w:noProof/>
                <w:webHidden/>
                <w:sz w:val="22"/>
                <w:szCs w:val="22"/>
              </w:rPr>
              <w:t>31</w:t>
            </w:r>
            <w:r w:rsidR="009A1BE2" w:rsidRPr="00CD0CF3">
              <w:rPr>
                <w:rFonts w:ascii="Corbel" w:hAnsi="Corbel"/>
                <w:noProof/>
                <w:webHidden/>
                <w:sz w:val="22"/>
                <w:szCs w:val="22"/>
              </w:rPr>
              <w:fldChar w:fldCharType="end"/>
            </w:r>
          </w:hyperlink>
        </w:p>
        <w:p w14:paraId="10BC7C05" w14:textId="64EDDBB8" w:rsidR="009A1BE2" w:rsidRPr="00CD0CF3" w:rsidRDefault="00A06682">
          <w:pPr>
            <w:pStyle w:val="TOC1"/>
            <w:rPr>
              <w:rFonts w:ascii="Corbel" w:eastAsiaTheme="minorEastAsia" w:hAnsi="Corbel" w:cstheme="minorBidi"/>
              <w:noProof/>
              <w:sz w:val="22"/>
              <w:szCs w:val="22"/>
              <w:lang w:eastAsia="en-US"/>
            </w:rPr>
          </w:pPr>
          <w:hyperlink w:anchor="_Toc103506754" w:history="1">
            <w:r w:rsidR="009A1BE2" w:rsidRPr="00CD0CF3">
              <w:rPr>
                <w:rStyle w:val="Hyperlink"/>
                <w:rFonts w:ascii="Corbel" w:hAnsi="Corbel"/>
                <w:noProof/>
                <w:sz w:val="22"/>
                <w:szCs w:val="22"/>
                <w:lang w:val="en-GB"/>
              </w:rPr>
              <w:t>VI. Partnership and collaboration</w:t>
            </w:r>
            <w:r w:rsidR="009A1BE2" w:rsidRPr="00CD0CF3">
              <w:rPr>
                <w:rFonts w:ascii="Corbel" w:hAnsi="Corbel"/>
                <w:noProof/>
                <w:webHidden/>
                <w:sz w:val="22"/>
                <w:szCs w:val="22"/>
              </w:rPr>
              <w:tab/>
            </w:r>
            <w:r w:rsidR="009A1BE2" w:rsidRPr="00CD0CF3">
              <w:rPr>
                <w:rFonts w:ascii="Corbel" w:hAnsi="Corbel"/>
                <w:noProof/>
                <w:webHidden/>
                <w:sz w:val="22"/>
                <w:szCs w:val="22"/>
              </w:rPr>
              <w:fldChar w:fldCharType="begin"/>
            </w:r>
            <w:r w:rsidR="009A1BE2" w:rsidRPr="00CD0CF3">
              <w:rPr>
                <w:rFonts w:ascii="Corbel" w:hAnsi="Corbel"/>
                <w:noProof/>
                <w:webHidden/>
                <w:sz w:val="22"/>
                <w:szCs w:val="22"/>
              </w:rPr>
              <w:instrText xml:space="preserve"> PAGEREF _Toc103506754 \h </w:instrText>
            </w:r>
            <w:r w:rsidR="009A1BE2" w:rsidRPr="00CD0CF3">
              <w:rPr>
                <w:rFonts w:ascii="Corbel" w:hAnsi="Corbel"/>
                <w:noProof/>
                <w:webHidden/>
                <w:sz w:val="22"/>
                <w:szCs w:val="22"/>
              </w:rPr>
            </w:r>
            <w:r w:rsidR="009A1BE2" w:rsidRPr="00CD0CF3">
              <w:rPr>
                <w:rFonts w:ascii="Corbel" w:hAnsi="Corbel"/>
                <w:noProof/>
                <w:webHidden/>
                <w:sz w:val="22"/>
                <w:szCs w:val="22"/>
              </w:rPr>
              <w:fldChar w:fldCharType="separate"/>
            </w:r>
            <w:r w:rsidR="009A1BE2" w:rsidRPr="00CD0CF3">
              <w:rPr>
                <w:rFonts w:ascii="Corbel" w:hAnsi="Corbel"/>
                <w:noProof/>
                <w:webHidden/>
                <w:sz w:val="22"/>
                <w:szCs w:val="22"/>
              </w:rPr>
              <w:t>32</w:t>
            </w:r>
            <w:r w:rsidR="009A1BE2" w:rsidRPr="00CD0CF3">
              <w:rPr>
                <w:rFonts w:ascii="Corbel" w:hAnsi="Corbel"/>
                <w:noProof/>
                <w:webHidden/>
                <w:sz w:val="22"/>
                <w:szCs w:val="22"/>
              </w:rPr>
              <w:fldChar w:fldCharType="end"/>
            </w:r>
          </w:hyperlink>
        </w:p>
        <w:p w14:paraId="29EE8750" w14:textId="78BDBCA6" w:rsidR="009A1BE2" w:rsidRPr="00CD0CF3" w:rsidRDefault="00A06682">
          <w:pPr>
            <w:pStyle w:val="TOC1"/>
            <w:rPr>
              <w:rFonts w:ascii="Corbel" w:eastAsiaTheme="minorEastAsia" w:hAnsi="Corbel" w:cstheme="minorBidi"/>
              <w:noProof/>
              <w:sz w:val="22"/>
              <w:szCs w:val="22"/>
              <w:lang w:eastAsia="en-US"/>
            </w:rPr>
          </w:pPr>
          <w:hyperlink w:anchor="_Toc103506755" w:history="1">
            <w:r w:rsidR="009A1BE2" w:rsidRPr="00CD0CF3">
              <w:rPr>
                <w:rStyle w:val="Hyperlink"/>
                <w:rFonts w:ascii="Corbel" w:hAnsi="Corbel"/>
                <w:noProof/>
                <w:sz w:val="22"/>
                <w:szCs w:val="22"/>
                <w:lang w:val="en-GB"/>
              </w:rPr>
              <w:t>VII.</w:t>
            </w:r>
            <w:r w:rsidR="009A1BE2" w:rsidRPr="00CD0CF3">
              <w:rPr>
                <w:rFonts w:ascii="Corbel" w:eastAsiaTheme="minorEastAsia" w:hAnsi="Corbel" w:cstheme="minorBidi"/>
                <w:noProof/>
                <w:sz w:val="22"/>
                <w:szCs w:val="22"/>
                <w:lang w:eastAsia="en-US"/>
              </w:rPr>
              <w:tab/>
            </w:r>
            <w:r w:rsidR="009A1BE2" w:rsidRPr="00CD0CF3">
              <w:rPr>
                <w:rStyle w:val="Hyperlink"/>
                <w:rFonts w:ascii="Corbel" w:hAnsi="Corbel"/>
                <w:noProof/>
                <w:sz w:val="22"/>
                <w:szCs w:val="22"/>
                <w:lang w:val="en-GB"/>
              </w:rPr>
              <w:t>Communication and Visibility</w:t>
            </w:r>
            <w:r w:rsidR="009A1BE2" w:rsidRPr="00CD0CF3">
              <w:rPr>
                <w:rFonts w:ascii="Corbel" w:hAnsi="Corbel"/>
                <w:noProof/>
                <w:webHidden/>
                <w:sz w:val="22"/>
                <w:szCs w:val="22"/>
              </w:rPr>
              <w:tab/>
            </w:r>
            <w:r w:rsidR="009A1BE2" w:rsidRPr="00CD0CF3">
              <w:rPr>
                <w:rFonts w:ascii="Corbel" w:hAnsi="Corbel"/>
                <w:noProof/>
                <w:webHidden/>
                <w:sz w:val="22"/>
                <w:szCs w:val="22"/>
              </w:rPr>
              <w:fldChar w:fldCharType="begin"/>
            </w:r>
            <w:r w:rsidR="009A1BE2" w:rsidRPr="00CD0CF3">
              <w:rPr>
                <w:rFonts w:ascii="Corbel" w:hAnsi="Corbel"/>
                <w:noProof/>
                <w:webHidden/>
                <w:sz w:val="22"/>
                <w:szCs w:val="22"/>
              </w:rPr>
              <w:instrText xml:space="preserve"> PAGEREF _Toc103506755 \h </w:instrText>
            </w:r>
            <w:r w:rsidR="009A1BE2" w:rsidRPr="00CD0CF3">
              <w:rPr>
                <w:rFonts w:ascii="Corbel" w:hAnsi="Corbel"/>
                <w:noProof/>
                <w:webHidden/>
                <w:sz w:val="22"/>
                <w:szCs w:val="22"/>
              </w:rPr>
            </w:r>
            <w:r w:rsidR="009A1BE2" w:rsidRPr="00CD0CF3">
              <w:rPr>
                <w:rFonts w:ascii="Corbel" w:hAnsi="Corbel"/>
                <w:noProof/>
                <w:webHidden/>
                <w:sz w:val="22"/>
                <w:szCs w:val="22"/>
              </w:rPr>
              <w:fldChar w:fldCharType="separate"/>
            </w:r>
            <w:r w:rsidR="009A1BE2" w:rsidRPr="00CD0CF3">
              <w:rPr>
                <w:rFonts w:ascii="Corbel" w:hAnsi="Corbel"/>
                <w:noProof/>
                <w:webHidden/>
                <w:sz w:val="22"/>
                <w:szCs w:val="22"/>
              </w:rPr>
              <w:t>32</w:t>
            </w:r>
            <w:r w:rsidR="009A1BE2" w:rsidRPr="00CD0CF3">
              <w:rPr>
                <w:rFonts w:ascii="Corbel" w:hAnsi="Corbel"/>
                <w:noProof/>
                <w:webHidden/>
                <w:sz w:val="22"/>
                <w:szCs w:val="22"/>
              </w:rPr>
              <w:fldChar w:fldCharType="end"/>
            </w:r>
          </w:hyperlink>
        </w:p>
        <w:p w14:paraId="3EC9C415" w14:textId="60D141CD" w:rsidR="009A1BE2" w:rsidRPr="00CD0CF3" w:rsidRDefault="00A06682">
          <w:pPr>
            <w:pStyle w:val="TOC1"/>
            <w:rPr>
              <w:rFonts w:ascii="Corbel" w:eastAsiaTheme="minorEastAsia" w:hAnsi="Corbel" w:cstheme="minorBidi"/>
              <w:noProof/>
              <w:sz w:val="22"/>
              <w:szCs w:val="22"/>
              <w:lang w:eastAsia="en-US"/>
            </w:rPr>
          </w:pPr>
          <w:hyperlink w:anchor="_Toc103506756" w:history="1">
            <w:r w:rsidR="009A1BE2" w:rsidRPr="00CD0CF3">
              <w:rPr>
                <w:rStyle w:val="Hyperlink"/>
                <w:rFonts w:ascii="Corbel" w:hAnsi="Corbel"/>
                <w:noProof/>
                <w:sz w:val="22"/>
                <w:szCs w:val="22"/>
                <w:lang w:val="en-GB"/>
              </w:rPr>
              <w:t>VIII.</w:t>
            </w:r>
            <w:r w:rsidR="009A1BE2" w:rsidRPr="00CD0CF3">
              <w:rPr>
                <w:rFonts w:ascii="Corbel" w:eastAsiaTheme="minorEastAsia" w:hAnsi="Corbel" w:cstheme="minorBidi"/>
                <w:noProof/>
                <w:sz w:val="22"/>
                <w:szCs w:val="22"/>
                <w:lang w:eastAsia="en-US"/>
              </w:rPr>
              <w:tab/>
            </w:r>
            <w:r w:rsidR="009A1BE2" w:rsidRPr="00CD0CF3">
              <w:rPr>
                <w:rStyle w:val="Hyperlink"/>
                <w:rFonts w:ascii="Corbel" w:hAnsi="Corbel"/>
                <w:noProof/>
                <w:sz w:val="22"/>
                <w:szCs w:val="22"/>
                <w:lang w:val="en-GB"/>
              </w:rPr>
              <w:t>Financial Summary 1 October 2017 – 31 March 2022</w:t>
            </w:r>
            <w:r w:rsidR="009A1BE2" w:rsidRPr="00CD0CF3">
              <w:rPr>
                <w:rFonts w:ascii="Corbel" w:hAnsi="Corbel"/>
                <w:noProof/>
                <w:webHidden/>
                <w:sz w:val="22"/>
                <w:szCs w:val="22"/>
              </w:rPr>
              <w:tab/>
            </w:r>
            <w:r w:rsidR="009A1BE2" w:rsidRPr="00CD0CF3">
              <w:rPr>
                <w:rFonts w:ascii="Corbel" w:hAnsi="Corbel"/>
                <w:noProof/>
                <w:webHidden/>
                <w:sz w:val="22"/>
                <w:szCs w:val="22"/>
              </w:rPr>
              <w:fldChar w:fldCharType="begin"/>
            </w:r>
            <w:r w:rsidR="009A1BE2" w:rsidRPr="00CD0CF3">
              <w:rPr>
                <w:rFonts w:ascii="Corbel" w:hAnsi="Corbel"/>
                <w:noProof/>
                <w:webHidden/>
                <w:sz w:val="22"/>
                <w:szCs w:val="22"/>
              </w:rPr>
              <w:instrText xml:space="preserve"> PAGEREF _Toc103506756 \h </w:instrText>
            </w:r>
            <w:r w:rsidR="009A1BE2" w:rsidRPr="00CD0CF3">
              <w:rPr>
                <w:rFonts w:ascii="Corbel" w:hAnsi="Corbel"/>
                <w:noProof/>
                <w:webHidden/>
                <w:sz w:val="22"/>
                <w:szCs w:val="22"/>
              </w:rPr>
            </w:r>
            <w:r w:rsidR="009A1BE2" w:rsidRPr="00CD0CF3">
              <w:rPr>
                <w:rFonts w:ascii="Corbel" w:hAnsi="Corbel"/>
                <w:noProof/>
                <w:webHidden/>
                <w:sz w:val="22"/>
                <w:szCs w:val="22"/>
              </w:rPr>
              <w:fldChar w:fldCharType="separate"/>
            </w:r>
            <w:r w:rsidR="009A1BE2" w:rsidRPr="00CD0CF3">
              <w:rPr>
                <w:rFonts w:ascii="Corbel" w:hAnsi="Corbel"/>
                <w:noProof/>
                <w:webHidden/>
                <w:sz w:val="22"/>
                <w:szCs w:val="22"/>
              </w:rPr>
              <w:t>34</w:t>
            </w:r>
            <w:r w:rsidR="009A1BE2" w:rsidRPr="00CD0CF3">
              <w:rPr>
                <w:rFonts w:ascii="Corbel" w:hAnsi="Corbel"/>
                <w:noProof/>
                <w:webHidden/>
                <w:sz w:val="22"/>
                <w:szCs w:val="22"/>
              </w:rPr>
              <w:fldChar w:fldCharType="end"/>
            </w:r>
          </w:hyperlink>
        </w:p>
        <w:p w14:paraId="5D74200F" w14:textId="130C5566" w:rsidR="009A1BE2" w:rsidRPr="003C0219" w:rsidRDefault="00A06682">
          <w:pPr>
            <w:pStyle w:val="TOC1"/>
            <w:rPr>
              <w:rFonts w:ascii="Corbel" w:eastAsiaTheme="minorEastAsia" w:hAnsi="Corbel" w:cstheme="minorBidi"/>
              <w:noProof/>
              <w:sz w:val="22"/>
              <w:szCs w:val="22"/>
              <w:lang w:eastAsia="en-US"/>
            </w:rPr>
          </w:pPr>
          <w:hyperlink w:anchor="_Toc103506757" w:history="1">
            <w:r w:rsidR="009A1BE2" w:rsidRPr="003C0219">
              <w:rPr>
                <w:rStyle w:val="Hyperlink"/>
                <w:rFonts w:ascii="Corbel" w:hAnsi="Corbel"/>
                <w:noProof/>
                <w:sz w:val="22"/>
                <w:szCs w:val="22"/>
                <w:u w:val="none"/>
                <w:lang w:val="en-GB"/>
              </w:rPr>
              <w:t>Annex 1: Summary Progress Report January 2021 – March 2022</w:t>
            </w:r>
            <w:r w:rsidR="009A1BE2" w:rsidRPr="003C0219">
              <w:rPr>
                <w:rFonts w:ascii="Corbel" w:hAnsi="Corbel"/>
                <w:noProof/>
                <w:webHidden/>
                <w:sz w:val="22"/>
                <w:szCs w:val="22"/>
              </w:rPr>
              <w:tab/>
            </w:r>
            <w:r w:rsidR="009A1BE2" w:rsidRPr="003C0219">
              <w:rPr>
                <w:rFonts w:ascii="Corbel" w:hAnsi="Corbel"/>
                <w:noProof/>
                <w:webHidden/>
                <w:sz w:val="22"/>
                <w:szCs w:val="22"/>
              </w:rPr>
              <w:fldChar w:fldCharType="begin"/>
            </w:r>
            <w:r w:rsidR="009A1BE2" w:rsidRPr="003C0219">
              <w:rPr>
                <w:rFonts w:ascii="Corbel" w:hAnsi="Corbel"/>
                <w:noProof/>
                <w:webHidden/>
                <w:sz w:val="22"/>
                <w:szCs w:val="22"/>
              </w:rPr>
              <w:instrText xml:space="preserve"> PAGEREF _Toc103506757 \h </w:instrText>
            </w:r>
            <w:r w:rsidR="009A1BE2" w:rsidRPr="003C0219">
              <w:rPr>
                <w:rFonts w:ascii="Corbel" w:hAnsi="Corbel"/>
                <w:noProof/>
                <w:webHidden/>
                <w:sz w:val="22"/>
                <w:szCs w:val="22"/>
              </w:rPr>
            </w:r>
            <w:r w:rsidR="009A1BE2" w:rsidRPr="003C0219">
              <w:rPr>
                <w:rFonts w:ascii="Corbel" w:hAnsi="Corbel"/>
                <w:noProof/>
                <w:webHidden/>
                <w:sz w:val="22"/>
                <w:szCs w:val="22"/>
              </w:rPr>
              <w:fldChar w:fldCharType="separate"/>
            </w:r>
            <w:r w:rsidR="009A1BE2" w:rsidRPr="003C0219">
              <w:rPr>
                <w:rFonts w:ascii="Corbel" w:hAnsi="Corbel"/>
                <w:noProof/>
                <w:webHidden/>
                <w:sz w:val="22"/>
                <w:szCs w:val="22"/>
              </w:rPr>
              <w:t>35</w:t>
            </w:r>
            <w:r w:rsidR="009A1BE2" w:rsidRPr="003C0219">
              <w:rPr>
                <w:rFonts w:ascii="Corbel" w:hAnsi="Corbel"/>
                <w:noProof/>
                <w:webHidden/>
                <w:sz w:val="22"/>
                <w:szCs w:val="22"/>
              </w:rPr>
              <w:fldChar w:fldCharType="end"/>
            </w:r>
          </w:hyperlink>
        </w:p>
        <w:p w14:paraId="4AFED5C3" w14:textId="42672C82" w:rsidR="009A1BE2" w:rsidRPr="00CD0CF3" w:rsidRDefault="00A06682">
          <w:pPr>
            <w:pStyle w:val="TOC1"/>
            <w:rPr>
              <w:rFonts w:ascii="Corbel" w:eastAsiaTheme="minorEastAsia" w:hAnsi="Corbel" w:cstheme="minorBidi"/>
              <w:noProof/>
              <w:sz w:val="22"/>
              <w:szCs w:val="22"/>
              <w:lang w:eastAsia="en-US"/>
            </w:rPr>
          </w:pPr>
          <w:hyperlink w:anchor="_Toc103506758" w:history="1">
            <w:r w:rsidR="009A1BE2" w:rsidRPr="00CD0CF3">
              <w:rPr>
                <w:rStyle w:val="Hyperlink"/>
                <w:rFonts w:ascii="Corbel" w:hAnsi="Corbel" w:cs="Arial"/>
                <w:noProof/>
                <w:sz w:val="22"/>
                <w:szCs w:val="22"/>
                <w:lang w:val="en-GB"/>
              </w:rPr>
              <w:t>I.</w:t>
            </w:r>
            <w:r w:rsidR="009A1BE2" w:rsidRPr="00CD0CF3">
              <w:rPr>
                <w:rFonts w:ascii="Corbel" w:eastAsiaTheme="minorEastAsia" w:hAnsi="Corbel" w:cstheme="minorBidi"/>
                <w:noProof/>
                <w:sz w:val="22"/>
                <w:szCs w:val="22"/>
                <w:lang w:eastAsia="en-US"/>
              </w:rPr>
              <w:tab/>
            </w:r>
            <w:r w:rsidR="009A1BE2" w:rsidRPr="00CD0CF3">
              <w:rPr>
                <w:rStyle w:val="Hyperlink"/>
                <w:rFonts w:ascii="Corbel" w:hAnsi="Corbel" w:cs="Arial"/>
                <w:noProof/>
                <w:sz w:val="22"/>
                <w:szCs w:val="22"/>
                <w:lang w:val="en-GB"/>
              </w:rPr>
              <w:t>Summary of deliverables and activity implementation</w:t>
            </w:r>
            <w:r w:rsidR="009A1BE2" w:rsidRPr="00CD0CF3">
              <w:rPr>
                <w:rFonts w:ascii="Corbel" w:hAnsi="Corbel"/>
                <w:noProof/>
                <w:webHidden/>
                <w:sz w:val="22"/>
                <w:szCs w:val="22"/>
              </w:rPr>
              <w:tab/>
            </w:r>
            <w:r w:rsidR="009A1BE2" w:rsidRPr="00CD0CF3">
              <w:rPr>
                <w:rFonts w:ascii="Corbel" w:hAnsi="Corbel"/>
                <w:noProof/>
                <w:webHidden/>
                <w:sz w:val="22"/>
                <w:szCs w:val="22"/>
              </w:rPr>
              <w:fldChar w:fldCharType="begin"/>
            </w:r>
            <w:r w:rsidR="009A1BE2" w:rsidRPr="00CD0CF3">
              <w:rPr>
                <w:rFonts w:ascii="Corbel" w:hAnsi="Corbel"/>
                <w:noProof/>
                <w:webHidden/>
                <w:sz w:val="22"/>
                <w:szCs w:val="22"/>
              </w:rPr>
              <w:instrText xml:space="preserve"> PAGEREF _Toc103506758 \h </w:instrText>
            </w:r>
            <w:r w:rsidR="009A1BE2" w:rsidRPr="00CD0CF3">
              <w:rPr>
                <w:rFonts w:ascii="Corbel" w:hAnsi="Corbel"/>
                <w:noProof/>
                <w:webHidden/>
                <w:sz w:val="22"/>
                <w:szCs w:val="22"/>
              </w:rPr>
            </w:r>
            <w:r w:rsidR="009A1BE2" w:rsidRPr="00CD0CF3">
              <w:rPr>
                <w:rFonts w:ascii="Corbel" w:hAnsi="Corbel"/>
                <w:noProof/>
                <w:webHidden/>
                <w:sz w:val="22"/>
                <w:szCs w:val="22"/>
              </w:rPr>
              <w:fldChar w:fldCharType="separate"/>
            </w:r>
            <w:r w:rsidR="009A1BE2" w:rsidRPr="00CD0CF3">
              <w:rPr>
                <w:rFonts w:ascii="Corbel" w:hAnsi="Corbel"/>
                <w:noProof/>
                <w:webHidden/>
                <w:sz w:val="22"/>
                <w:szCs w:val="22"/>
              </w:rPr>
              <w:t>35</w:t>
            </w:r>
            <w:r w:rsidR="009A1BE2" w:rsidRPr="00CD0CF3">
              <w:rPr>
                <w:rFonts w:ascii="Corbel" w:hAnsi="Corbel"/>
                <w:noProof/>
                <w:webHidden/>
                <w:sz w:val="22"/>
                <w:szCs w:val="22"/>
              </w:rPr>
              <w:fldChar w:fldCharType="end"/>
            </w:r>
          </w:hyperlink>
        </w:p>
        <w:p w14:paraId="63FD428B" w14:textId="44674BFC" w:rsidR="003C0219" w:rsidRDefault="00A06682" w:rsidP="003C0219">
          <w:pPr>
            <w:pStyle w:val="TOC1"/>
            <w:rPr>
              <w:rFonts w:ascii="Corbel" w:hAnsi="Corbel"/>
              <w:b/>
              <w:bCs/>
              <w:noProof/>
              <w:sz w:val="22"/>
              <w:szCs w:val="22"/>
            </w:rPr>
          </w:pPr>
          <w:hyperlink w:anchor="_Toc103506759" w:history="1">
            <w:r w:rsidR="009A1BE2" w:rsidRPr="00CD0CF3">
              <w:rPr>
                <w:rStyle w:val="Hyperlink"/>
                <w:rFonts w:ascii="Corbel" w:hAnsi="Corbel" w:cs="Arial"/>
                <w:noProof/>
                <w:sz w:val="22"/>
                <w:szCs w:val="22"/>
                <w:lang w:val="en-GB"/>
              </w:rPr>
              <w:t>II.</w:t>
            </w:r>
            <w:r w:rsidR="009A1BE2" w:rsidRPr="00CD0CF3">
              <w:rPr>
                <w:rFonts w:ascii="Corbel" w:eastAsiaTheme="minorEastAsia" w:hAnsi="Corbel" w:cstheme="minorBidi"/>
                <w:noProof/>
                <w:sz w:val="22"/>
                <w:szCs w:val="22"/>
                <w:lang w:eastAsia="en-US"/>
              </w:rPr>
              <w:tab/>
            </w:r>
            <w:r w:rsidR="009A1BE2" w:rsidRPr="00CD0CF3">
              <w:rPr>
                <w:rStyle w:val="Hyperlink"/>
                <w:rFonts w:ascii="Corbel" w:hAnsi="Corbel" w:cs="Arial"/>
                <w:noProof/>
                <w:sz w:val="22"/>
                <w:szCs w:val="22"/>
                <w:lang w:val="en-GB"/>
              </w:rPr>
              <w:t>Financial Summary</w:t>
            </w:r>
            <w:r w:rsidR="009A1BE2" w:rsidRPr="00CD0CF3">
              <w:rPr>
                <w:rFonts w:ascii="Corbel" w:hAnsi="Corbel"/>
                <w:noProof/>
                <w:webHidden/>
                <w:sz w:val="22"/>
                <w:szCs w:val="22"/>
              </w:rPr>
              <w:tab/>
            </w:r>
            <w:r w:rsidR="009A1BE2" w:rsidRPr="00CD0CF3">
              <w:rPr>
                <w:rFonts w:ascii="Corbel" w:hAnsi="Corbel"/>
                <w:noProof/>
                <w:webHidden/>
                <w:sz w:val="22"/>
                <w:szCs w:val="22"/>
              </w:rPr>
              <w:fldChar w:fldCharType="begin"/>
            </w:r>
            <w:r w:rsidR="009A1BE2" w:rsidRPr="00CD0CF3">
              <w:rPr>
                <w:rFonts w:ascii="Corbel" w:hAnsi="Corbel"/>
                <w:noProof/>
                <w:webHidden/>
                <w:sz w:val="22"/>
                <w:szCs w:val="22"/>
              </w:rPr>
              <w:instrText xml:space="preserve"> PAGEREF _Toc103506759 \h </w:instrText>
            </w:r>
            <w:r w:rsidR="009A1BE2" w:rsidRPr="00CD0CF3">
              <w:rPr>
                <w:rFonts w:ascii="Corbel" w:hAnsi="Corbel"/>
                <w:noProof/>
                <w:webHidden/>
                <w:sz w:val="22"/>
                <w:szCs w:val="22"/>
              </w:rPr>
            </w:r>
            <w:r w:rsidR="009A1BE2" w:rsidRPr="00CD0CF3">
              <w:rPr>
                <w:rFonts w:ascii="Corbel" w:hAnsi="Corbel"/>
                <w:noProof/>
                <w:webHidden/>
                <w:sz w:val="22"/>
                <w:szCs w:val="22"/>
              </w:rPr>
              <w:fldChar w:fldCharType="separate"/>
            </w:r>
            <w:r w:rsidR="009A1BE2" w:rsidRPr="00CD0CF3">
              <w:rPr>
                <w:rFonts w:ascii="Corbel" w:hAnsi="Corbel"/>
                <w:noProof/>
                <w:webHidden/>
                <w:sz w:val="22"/>
                <w:szCs w:val="22"/>
              </w:rPr>
              <w:t>42</w:t>
            </w:r>
            <w:r w:rsidR="009A1BE2" w:rsidRPr="00CD0CF3">
              <w:rPr>
                <w:rFonts w:ascii="Corbel" w:hAnsi="Corbel"/>
                <w:noProof/>
                <w:webHidden/>
                <w:sz w:val="22"/>
                <w:szCs w:val="22"/>
              </w:rPr>
              <w:fldChar w:fldCharType="end"/>
            </w:r>
          </w:hyperlink>
          <w:r w:rsidR="009A1BE2" w:rsidRPr="00CD0CF3">
            <w:rPr>
              <w:rFonts w:ascii="Corbel" w:hAnsi="Corbel"/>
              <w:b/>
              <w:bCs/>
              <w:noProof/>
              <w:sz w:val="22"/>
              <w:szCs w:val="22"/>
            </w:rPr>
            <w:fldChar w:fldCharType="end"/>
          </w:r>
        </w:p>
        <w:p w14:paraId="5C043AAD" w14:textId="77777777" w:rsidR="003C0219" w:rsidRDefault="003C0219" w:rsidP="003C0219">
          <w:pPr>
            <w:pStyle w:val="Title"/>
            <w:spacing w:before="0" w:after="0"/>
            <w:ind w:left="0" w:firstLine="0"/>
            <w:jc w:val="left"/>
            <w:rPr>
              <w:rFonts w:ascii="Corbel" w:hAnsi="Corbel"/>
              <w:b w:val="0"/>
              <w:bCs/>
              <w:color w:val="auto"/>
              <w:sz w:val="22"/>
              <w:szCs w:val="22"/>
            </w:rPr>
          </w:pPr>
        </w:p>
        <w:p w14:paraId="7852FC98" w14:textId="38105592" w:rsidR="003C0219" w:rsidRPr="003C0219" w:rsidRDefault="003C0219" w:rsidP="003C0219">
          <w:pPr>
            <w:pStyle w:val="Title"/>
            <w:spacing w:before="0"/>
            <w:ind w:left="0" w:firstLine="0"/>
            <w:jc w:val="left"/>
            <w:rPr>
              <w:rFonts w:ascii="Corbel" w:hAnsi="Corbel" w:cstheme="majorBidi"/>
              <w:b w:val="0"/>
              <w:bCs/>
              <w:color w:val="auto"/>
              <w:sz w:val="22"/>
              <w:szCs w:val="22"/>
              <w:lang w:val="en-GB"/>
            </w:rPr>
          </w:pPr>
          <w:r w:rsidRPr="003C0219">
            <w:rPr>
              <w:rFonts w:ascii="Corbel" w:hAnsi="Corbel"/>
              <w:b w:val="0"/>
              <w:bCs/>
              <w:color w:val="auto"/>
              <w:sz w:val="22"/>
              <w:szCs w:val="22"/>
            </w:rPr>
            <w:t xml:space="preserve">Annex 2: </w:t>
          </w:r>
          <w:r w:rsidRPr="003C0219">
            <w:rPr>
              <w:rFonts w:ascii="Corbel" w:hAnsi="Corbel" w:cstheme="majorBidi"/>
              <w:b w:val="0"/>
              <w:bCs/>
              <w:color w:val="auto"/>
              <w:sz w:val="22"/>
              <w:szCs w:val="22"/>
              <w:lang w:val="en-GB"/>
            </w:rPr>
            <w:t>Case Study: Mainstreaming Trade in Services in Arab Countries</w:t>
          </w:r>
        </w:p>
        <w:p w14:paraId="06E8B2D9" w14:textId="2821E9BA" w:rsidR="003C0219" w:rsidRPr="003C0219" w:rsidRDefault="003C0219" w:rsidP="003C0219">
          <w:pPr>
            <w:pStyle w:val="Title"/>
            <w:spacing w:before="0"/>
            <w:ind w:left="0" w:firstLine="0"/>
            <w:jc w:val="left"/>
            <w:rPr>
              <w:rFonts w:ascii="Corbel" w:hAnsi="Corbel" w:cstheme="majorBidi"/>
              <w:b w:val="0"/>
              <w:bCs/>
              <w:color w:val="auto"/>
              <w:sz w:val="22"/>
              <w:szCs w:val="22"/>
            </w:rPr>
          </w:pPr>
          <w:r w:rsidRPr="003C0219">
            <w:rPr>
              <w:rFonts w:ascii="Corbel" w:hAnsi="Corbel" w:cstheme="majorBidi"/>
              <w:b w:val="0"/>
              <w:bCs/>
              <w:color w:val="auto"/>
              <w:sz w:val="22"/>
              <w:szCs w:val="22"/>
            </w:rPr>
            <w:t>Annex 3: Case Study: Modernization of the Supply Chain in Jordan</w:t>
          </w:r>
        </w:p>
        <w:p w14:paraId="0908EB91" w14:textId="294BE8DF" w:rsidR="003C0219" w:rsidRPr="003C0219" w:rsidRDefault="003C0219" w:rsidP="003C0219">
          <w:pPr>
            <w:pStyle w:val="Default"/>
            <w:spacing w:after="120"/>
            <w:rPr>
              <w:rFonts w:ascii="Corbel" w:eastAsiaTheme="minorHAnsi" w:hAnsi="Corbel" w:cs="Calibri"/>
              <w:bCs/>
              <w:color w:val="auto"/>
              <w:sz w:val="22"/>
              <w:szCs w:val="22"/>
              <w:lang w:val="en-US" w:bidi="ar-SA"/>
            </w:rPr>
          </w:pPr>
          <w:r w:rsidRPr="003C0219">
            <w:rPr>
              <w:rFonts w:ascii="Corbel" w:hAnsi="Corbel"/>
              <w:bCs/>
              <w:color w:val="auto"/>
              <w:sz w:val="22"/>
              <w:szCs w:val="22"/>
              <w:lang w:val="en-CA" w:eastAsia="en-GB"/>
            </w:rPr>
            <w:t xml:space="preserve">Annex 4a: </w:t>
          </w:r>
          <w:r w:rsidRPr="003C0219">
            <w:rPr>
              <w:rFonts w:ascii="Corbel" w:eastAsiaTheme="minorHAnsi" w:hAnsi="Corbel" w:cs="Calibri"/>
              <w:bCs/>
              <w:color w:val="auto"/>
              <w:sz w:val="22"/>
              <w:szCs w:val="22"/>
            </w:rPr>
            <w:t xml:space="preserve">FAST TRACK EXPORT SUPPORT PROGRAM TO THE US - FINAL REPORT </w:t>
          </w:r>
        </w:p>
        <w:p w14:paraId="39F09463" w14:textId="0FBF7DD2" w:rsidR="003C0219" w:rsidRPr="003C0219" w:rsidRDefault="003C0219" w:rsidP="003C0219">
          <w:pPr>
            <w:autoSpaceDE w:val="0"/>
            <w:autoSpaceDN w:val="0"/>
            <w:adjustRightInd w:val="0"/>
            <w:spacing w:after="120"/>
            <w:rPr>
              <w:rFonts w:ascii="Corbel" w:eastAsiaTheme="minorHAnsi" w:hAnsi="Corbel" w:cs="CIDFont+F2"/>
              <w:bCs/>
              <w:sz w:val="22"/>
              <w:szCs w:val="22"/>
              <w:lang w:eastAsia="en-US"/>
            </w:rPr>
          </w:pPr>
          <w:r w:rsidRPr="003C0219">
            <w:rPr>
              <w:rFonts w:ascii="Corbel" w:eastAsiaTheme="minorHAnsi" w:hAnsi="Corbel" w:cs="CIDFont+F2"/>
              <w:bCs/>
              <w:sz w:val="22"/>
              <w:szCs w:val="22"/>
              <w:lang w:eastAsia="en-US"/>
            </w:rPr>
            <w:t>Annex 4b: Implementing and managing a fast-track export support program for Lebanese SMEs and Moroccan Cooperatives</w:t>
          </w:r>
        </w:p>
        <w:p w14:paraId="0F57843B" w14:textId="77777777" w:rsidR="003C0219" w:rsidRPr="003C0219" w:rsidRDefault="003C0219" w:rsidP="003C0219">
          <w:pPr>
            <w:rPr>
              <w:lang w:val="en-CA" w:eastAsia="en-GB"/>
            </w:rPr>
          </w:pPr>
        </w:p>
        <w:p w14:paraId="58D8058C" w14:textId="3484C16D" w:rsidR="009A1BE2" w:rsidRPr="003C0219" w:rsidRDefault="00A06682" w:rsidP="003C0219"/>
      </w:sdtContent>
    </w:sdt>
    <w:p w14:paraId="4847D23E" w14:textId="5ADD91FD" w:rsidR="4F6DD0A6" w:rsidRDefault="006B0754" w:rsidP="4F6DD0A6">
      <w:pPr>
        <w:spacing w:after="160" w:line="259" w:lineRule="auto"/>
        <w:rPr>
          <w:rFonts w:ascii="Corbel" w:hAnsi="Corbel" w:cs="Arial"/>
          <w:b/>
          <w:bCs/>
          <w:sz w:val="22"/>
          <w:szCs w:val="22"/>
          <w:lang w:val="en-GB"/>
        </w:rPr>
      </w:pPr>
      <w:r w:rsidRPr="00CD0CF3">
        <w:rPr>
          <w:rFonts w:ascii="Corbel" w:hAnsi="Corbel" w:cs="Arial"/>
          <w:b/>
          <w:bCs/>
          <w:sz w:val="22"/>
          <w:szCs w:val="22"/>
          <w:lang w:val="en-GB"/>
        </w:rPr>
        <w:br w:type="page"/>
      </w:r>
    </w:p>
    <w:p w14:paraId="51BCBBB0" w14:textId="0C23A3EC" w:rsidR="006B0754" w:rsidRPr="00EF1F01" w:rsidRDefault="006B0754" w:rsidP="006B0754">
      <w:pPr>
        <w:spacing w:after="160" w:line="259" w:lineRule="auto"/>
        <w:rPr>
          <w:rFonts w:ascii="Corbel" w:hAnsi="Corbel" w:cs="Arial"/>
          <w:b/>
          <w:color w:val="1F497D"/>
          <w:sz w:val="28"/>
          <w:szCs w:val="28"/>
          <w:lang w:val="en-GB"/>
        </w:rPr>
      </w:pPr>
      <w:bookmarkStart w:id="0" w:name="_Toc33614408"/>
      <w:r w:rsidRPr="00EF1F01">
        <w:rPr>
          <w:rFonts w:ascii="Corbel" w:hAnsi="Corbel" w:cs="Arial"/>
          <w:b/>
          <w:color w:val="1F497D"/>
          <w:sz w:val="28"/>
          <w:szCs w:val="28"/>
          <w:lang w:val="en-GB"/>
        </w:rPr>
        <w:lastRenderedPageBreak/>
        <w:t>Acronyms</w:t>
      </w:r>
      <w:bookmarkEnd w:id="0"/>
    </w:p>
    <w:p w14:paraId="1088BEAB" w14:textId="77777777" w:rsidR="006B0754" w:rsidRPr="00EF1F01" w:rsidRDefault="006B0754" w:rsidP="006B0754">
      <w:pPr>
        <w:rPr>
          <w:rFonts w:ascii="Corbel" w:hAnsi="Corbel" w:cs="Arial"/>
          <w:lang w:val="en-GB"/>
        </w:rPr>
      </w:pPr>
    </w:p>
    <w:tbl>
      <w:tblPr>
        <w:tblW w:w="8366" w:type="dxa"/>
        <w:jc w:val="center"/>
        <w:tblLook w:val="04A0" w:firstRow="1" w:lastRow="0" w:firstColumn="1" w:lastColumn="0" w:noHBand="0" w:noVBand="1"/>
      </w:tblPr>
      <w:tblGrid>
        <w:gridCol w:w="2518"/>
        <w:gridCol w:w="5848"/>
      </w:tblGrid>
      <w:tr w:rsidR="006B0754" w:rsidRPr="00EF1F01" w14:paraId="0DB3360B" w14:textId="77777777" w:rsidTr="4F6DD0A6">
        <w:trPr>
          <w:trHeight w:val="115"/>
          <w:jc w:val="center"/>
        </w:trPr>
        <w:tc>
          <w:tcPr>
            <w:tcW w:w="2518" w:type="dxa"/>
            <w:hideMark/>
          </w:tcPr>
          <w:p w14:paraId="4B362ABA" w14:textId="3274F7D4" w:rsidR="002D0ACE" w:rsidRPr="00A06682" w:rsidRDefault="002D0ACE">
            <w:pPr>
              <w:rPr>
                <w:rFonts w:ascii="Corbel" w:hAnsi="Corbel" w:cs="Arial"/>
                <w:sz w:val="22"/>
                <w:szCs w:val="22"/>
                <w:lang w:val="fr-FR"/>
              </w:rPr>
            </w:pPr>
            <w:r w:rsidRPr="00A06682">
              <w:rPr>
                <w:rFonts w:ascii="Corbel" w:hAnsi="Corbel" w:cs="Arial"/>
                <w:sz w:val="22"/>
                <w:szCs w:val="22"/>
                <w:lang w:val="fr-FR"/>
              </w:rPr>
              <w:t>ACINET</w:t>
            </w:r>
          </w:p>
          <w:p w14:paraId="1C47A88C" w14:textId="5ECF211C" w:rsidR="006B0754" w:rsidRPr="00A06682" w:rsidRDefault="001076B5">
            <w:pPr>
              <w:rPr>
                <w:rFonts w:ascii="Corbel" w:hAnsi="Corbel" w:cs="Arial"/>
                <w:sz w:val="22"/>
                <w:szCs w:val="22"/>
                <w:lang w:val="fr-FR"/>
              </w:rPr>
            </w:pPr>
            <w:r w:rsidRPr="00A06682">
              <w:rPr>
                <w:rFonts w:ascii="Corbel" w:hAnsi="Corbel" w:cs="Arial"/>
                <w:sz w:val="22"/>
                <w:szCs w:val="22"/>
                <w:lang w:val="fr-FR"/>
              </w:rPr>
              <w:t>ACU</w:t>
            </w:r>
          </w:p>
          <w:p w14:paraId="2A23A2EC" w14:textId="3548A0EA" w:rsidR="00DB087A" w:rsidRPr="00A06682" w:rsidRDefault="00DB087A">
            <w:pPr>
              <w:rPr>
                <w:rFonts w:ascii="Corbel" w:hAnsi="Corbel" w:cs="Arial"/>
                <w:sz w:val="22"/>
                <w:szCs w:val="22"/>
                <w:lang w:val="fr-FR"/>
              </w:rPr>
            </w:pPr>
            <w:r w:rsidRPr="00A06682">
              <w:rPr>
                <w:rFonts w:ascii="Corbel" w:hAnsi="Corbel" w:cs="Arial"/>
                <w:sz w:val="22"/>
                <w:szCs w:val="22"/>
                <w:lang w:val="fr-FR"/>
              </w:rPr>
              <w:t>AEO</w:t>
            </w:r>
          </w:p>
          <w:p w14:paraId="3AB26351" w14:textId="5646494C" w:rsidR="0092133C" w:rsidRPr="00A06682" w:rsidRDefault="0092133C">
            <w:pPr>
              <w:rPr>
                <w:rFonts w:ascii="Corbel" w:hAnsi="Corbel" w:cs="Arial"/>
                <w:sz w:val="22"/>
                <w:szCs w:val="22"/>
                <w:lang w:val="fr-FR"/>
              </w:rPr>
            </w:pPr>
            <w:r w:rsidRPr="00A06682">
              <w:rPr>
                <w:rFonts w:ascii="Corbel" w:hAnsi="Corbel" w:cs="Arial"/>
                <w:sz w:val="22"/>
                <w:szCs w:val="22"/>
                <w:lang w:val="fr-FR"/>
              </w:rPr>
              <w:t>ATU</w:t>
            </w:r>
          </w:p>
          <w:p w14:paraId="6176BF26" w14:textId="30976EAE" w:rsidR="00136F1F" w:rsidRPr="00A06682" w:rsidRDefault="00136F1F">
            <w:pPr>
              <w:rPr>
                <w:rFonts w:ascii="Corbel" w:hAnsi="Corbel" w:cs="Arial"/>
                <w:b/>
                <w:bCs/>
                <w:sz w:val="22"/>
                <w:szCs w:val="22"/>
                <w:lang w:val="fr-FR"/>
              </w:rPr>
            </w:pPr>
            <w:proofErr w:type="spellStart"/>
            <w:r w:rsidRPr="00A06682">
              <w:rPr>
                <w:rFonts w:ascii="Corbel" w:hAnsi="Corbel"/>
                <w:sz w:val="22"/>
                <w:szCs w:val="22"/>
                <w:lang w:val="fr-FR"/>
              </w:rPr>
              <w:t>Afc</w:t>
            </w:r>
            <w:proofErr w:type="spellEnd"/>
            <w:r w:rsidRPr="00A06682">
              <w:rPr>
                <w:rFonts w:ascii="Corbel" w:hAnsi="Corbel"/>
                <w:sz w:val="22"/>
                <w:szCs w:val="22"/>
                <w:lang w:val="fr-FR"/>
              </w:rPr>
              <w:t xml:space="preserve"> FTA</w:t>
            </w:r>
          </w:p>
          <w:p w14:paraId="193707C0" w14:textId="10543A07" w:rsidR="00EA5B2B" w:rsidRPr="00EF1F01" w:rsidRDefault="00EA5B2B">
            <w:pPr>
              <w:rPr>
                <w:rFonts w:ascii="Corbel" w:hAnsi="Corbel" w:cs="Arial"/>
                <w:sz w:val="22"/>
                <w:szCs w:val="22"/>
                <w:lang w:val="en-GB"/>
              </w:rPr>
            </w:pPr>
            <w:r w:rsidRPr="00EF1F01">
              <w:rPr>
                <w:rFonts w:ascii="Corbel" w:hAnsi="Corbel" w:cs="Arial"/>
                <w:sz w:val="22"/>
                <w:szCs w:val="22"/>
                <w:lang w:val="en-GB"/>
              </w:rPr>
              <w:t>ECA</w:t>
            </w:r>
          </w:p>
          <w:p w14:paraId="08C9E19C" w14:textId="7D9A0822" w:rsidR="006B0754" w:rsidRPr="00EF1F01" w:rsidRDefault="006B0754">
            <w:pPr>
              <w:rPr>
                <w:rFonts w:ascii="Corbel" w:hAnsi="Corbel" w:cs="Arial"/>
                <w:sz w:val="22"/>
                <w:szCs w:val="22"/>
                <w:lang w:val="en-GB"/>
              </w:rPr>
            </w:pPr>
            <w:r w:rsidRPr="00EF1F01">
              <w:rPr>
                <w:rFonts w:ascii="Corbel" w:hAnsi="Corbel" w:cs="Arial"/>
                <w:sz w:val="22"/>
                <w:szCs w:val="22"/>
                <w:lang w:val="en-GB"/>
              </w:rPr>
              <w:t>ECOSOC</w:t>
            </w:r>
          </w:p>
          <w:p w14:paraId="65E126A6" w14:textId="75E722BE" w:rsidR="00EA5B2B" w:rsidRPr="00EF1F01" w:rsidRDefault="5851A6E7">
            <w:pPr>
              <w:jc w:val="both"/>
              <w:rPr>
                <w:rFonts w:ascii="Corbel" w:hAnsi="Corbel" w:cs="Arial"/>
                <w:sz w:val="22"/>
                <w:szCs w:val="22"/>
                <w:lang w:val="en-GB"/>
              </w:rPr>
            </w:pPr>
            <w:r w:rsidRPr="4F6DD0A6">
              <w:rPr>
                <w:rFonts w:ascii="Corbel" w:hAnsi="Corbel" w:cs="Arial"/>
                <w:sz w:val="22"/>
                <w:szCs w:val="22"/>
                <w:lang w:val="en-GB"/>
              </w:rPr>
              <w:t>GOEIC</w:t>
            </w:r>
          </w:p>
          <w:p w14:paraId="1F943F4A" w14:textId="399EEB0B" w:rsidR="00E201F0" w:rsidRDefault="00E201F0">
            <w:pPr>
              <w:jc w:val="both"/>
              <w:rPr>
                <w:rFonts w:ascii="Corbel" w:hAnsi="Corbel" w:cs="Arial"/>
                <w:sz w:val="22"/>
                <w:szCs w:val="22"/>
                <w:lang w:val="en-GB"/>
              </w:rPr>
            </w:pPr>
            <w:r w:rsidRPr="4F6DD0A6">
              <w:rPr>
                <w:rFonts w:ascii="Corbel" w:hAnsi="Corbel" w:cstheme="minorBidi"/>
                <w:sz w:val="22"/>
                <w:szCs w:val="22"/>
                <w:lang w:val="en-GB"/>
              </w:rPr>
              <w:t>GTIA</w:t>
            </w:r>
          </w:p>
          <w:p w14:paraId="3F2CD03B" w14:textId="3C22D6B9" w:rsidR="0092133C" w:rsidRPr="00EF1F01" w:rsidRDefault="0092133C">
            <w:pPr>
              <w:jc w:val="both"/>
              <w:rPr>
                <w:rFonts w:ascii="Corbel" w:hAnsi="Corbel" w:cs="Arial"/>
                <w:sz w:val="22"/>
                <w:szCs w:val="22"/>
                <w:lang w:val="en-GB"/>
              </w:rPr>
            </w:pPr>
            <w:r w:rsidRPr="00EF1F01">
              <w:rPr>
                <w:rFonts w:ascii="Corbel" w:hAnsi="Corbel" w:cs="Arial"/>
                <w:sz w:val="22"/>
                <w:szCs w:val="22"/>
                <w:lang w:val="en-GB"/>
              </w:rPr>
              <w:t>JNSW</w:t>
            </w:r>
          </w:p>
          <w:p w14:paraId="26C77DB8" w14:textId="32C7E217" w:rsidR="006B0754" w:rsidRDefault="006B0754">
            <w:pPr>
              <w:jc w:val="both"/>
              <w:rPr>
                <w:rFonts w:ascii="Corbel" w:hAnsi="Corbel" w:cs="Arial"/>
                <w:sz w:val="22"/>
                <w:szCs w:val="22"/>
                <w:lang w:val="en-GB"/>
              </w:rPr>
            </w:pPr>
            <w:r w:rsidRPr="00EF1F01">
              <w:rPr>
                <w:rFonts w:ascii="Corbel" w:hAnsi="Corbel" w:cs="Arial"/>
                <w:sz w:val="22"/>
                <w:szCs w:val="22"/>
                <w:lang w:val="en-GB"/>
              </w:rPr>
              <w:t>LAS</w:t>
            </w:r>
          </w:p>
          <w:p w14:paraId="3939660C" w14:textId="0119E05B" w:rsidR="00E201F0" w:rsidRPr="00EF1F01" w:rsidRDefault="00E201F0">
            <w:pPr>
              <w:jc w:val="both"/>
              <w:rPr>
                <w:rFonts w:ascii="Corbel" w:hAnsi="Corbel" w:cs="Arial"/>
                <w:sz w:val="22"/>
                <w:szCs w:val="22"/>
                <w:lang w:val="en-GB"/>
              </w:rPr>
            </w:pPr>
            <w:r w:rsidRPr="001E4C46">
              <w:rPr>
                <w:rFonts w:ascii="Calibri" w:eastAsia="Times New Roman" w:hAnsi="Calibri" w:cs="Calibri"/>
                <w:sz w:val="22"/>
                <w:szCs w:val="22"/>
                <w:lang w:val="en-GB" w:eastAsia="en-US"/>
              </w:rPr>
              <w:t>LDCs</w:t>
            </w:r>
          </w:p>
          <w:p w14:paraId="097363FD" w14:textId="71DB03BB" w:rsidR="0092133C" w:rsidRPr="00EF1F01" w:rsidRDefault="0092133C">
            <w:pPr>
              <w:jc w:val="both"/>
              <w:rPr>
                <w:rFonts w:ascii="Corbel" w:hAnsi="Corbel" w:cs="Arial"/>
                <w:sz w:val="22"/>
                <w:szCs w:val="22"/>
                <w:lang w:val="en-GB"/>
              </w:rPr>
            </w:pPr>
            <w:r w:rsidRPr="00EF1F01">
              <w:rPr>
                <w:rFonts w:ascii="Corbel" w:hAnsi="Corbel" w:cs="Arial"/>
                <w:sz w:val="22"/>
                <w:szCs w:val="22"/>
                <w:lang w:val="en-GB"/>
              </w:rPr>
              <w:t>NSW</w:t>
            </w:r>
          </w:p>
          <w:p w14:paraId="02BF9ED4" w14:textId="12FE46A6" w:rsidR="00EA5B2B" w:rsidRPr="00EF1F01" w:rsidRDefault="00EA5B2B">
            <w:pPr>
              <w:jc w:val="both"/>
              <w:rPr>
                <w:rFonts w:ascii="Corbel" w:hAnsi="Corbel" w:cs="Arial"/>
                <w:sz w:val="22"/>
                <w:szCs w:val="22"/>
                <w:lang w:val="en-GB"/>
              </w:rPr>
            </w:pPr>
            <w:r w:rsidRPr="00EF1F01">
              <w:rPr>
                <w:rFonts w:ascii="Corbel" w:hAnsi="Corbel" w:cs="Arial"/>
                <w:sz w:val="22"/>
                <w:szCs w:val="22"/>
                <w:lang w:val="en-GB"/>
              </w:rPr>
              <w:t>PAFTA</w:t>
            </w:r>
          </w:p>
          <w:p w14:paraId="60685712" w14:textId="77777777" w:rsidR="00997714" w:rsidRPr="00EF1F01" w:rsidRDefault="00997714">
            <w:pPr>
              <w:jc w:val="both"/>
              <w:rPr>
                <w:rFonts w:ascii="Corbel" w:hAnsi="Corbel" w:cs="Arial"/>
                <w:sz w:val="22"/>
                <w:szCs w:val="22"/>
                <w:lang w:val="en-GB"/>
              </w:rPr>
            </w:pPr>
            <w:r w:rsidRPr="00EF1F01">
              <w:rPr>
                <w:rFonts w:ascii="Corbel" w:hAnsi="Corbel" w:cs="Arial"/>
                <w:sz w:val="22"/>
                <w:szCs w:val="22"/>
                <w:lang w:val="en-GB"/>
              </w:rPr>
              <w:t xml:space="preserve">RPD </w:t>
            </w:r>
          </w:p>
          <w:p w14:paraId="4A9A5CF0" w14:textId="23CAF17F" w:rsidR="00E201F0" w:rsidRDefault="00E201F0">
            <w:pPr>
              <w:jc w:val="both"/>
              <w:rPr>
                <w:rFonts w:ascii="Corbel" w:hAnsi="Corbel" w:cs="Arial"/>
                <w:sz w:val="22"/>
                <w:szCs w:val="22"/>
                <w:lang w:val="en-GB"/>
              </w:rPr>
            </w:pPr>
            <w:r w:rsidRPr="4F6DD0A6">
              <w:rPr>
                <w:rFonts w:ascii="Corbel" w:hAnsi="Corbel" w:cstheme="minorBidi"/>
                <w:sz w:val="22"/>
                <w:szCs w:val="22"/>
                <w:lang w:val="en-GB"/>
              </w:rPr>
              <w:t>SMEs</w:t>
            </w:r>
          </w:p>
          <w:p w14:paraId="02DFA073" w14:textId="6F953836" w:rsidR="00677D99" w:rsidRPr="00EF1F01" w:rsidRDefault="00677D99">
            <w:pPr>
              <w:jc w:val="both"/>
              <w:rPr>
                <w:rFonts w:ascii="Corbel" w:hAnsi="Corbel" w:cs="Arial"/>
                <w:sz w:val="22"/>
                <w:szCs w:val="22"/>
                <w:lang w:val="en-GB"/>
              </w:rPr>
            </w:pPr>
            <w:r w:rsidRPr="00EF1F01">
              <w:rPr>
                <w:rFonts w:ascii="Corbel" w:hAnsi="Corbel" w:cs="Arial"/>
                <w:sz w:val="22"/>
                <w:szCs w:val="22"/>
                <w:lang w:val="en-GB"/>
              </w:rPr>
              <w:t>SPS</w:t>
            </w:r>
          </w:p>
          <w:p w14:paraId="3A357693" w14:textId="1A5D415B" w:rsidR="00E201F0" w:rsidRDefault="00E201F0">
            <w:pPr>
              <w:jc w:val="both"/>
              <w:rPr>
                <w:rFonts w:ascii="Corbel" w:hAnsi="Corbel" w:cs="Arial"/>
                <w:sz w:val="22"/>
                <w:szCs w:val="22"/>
                <w:lang w:val="en-GB"/>
              </w:rPr>
            </w:pPr>
            <w:r w:rsidRPr="4F6DD0A6">
              <w:rPr>
                <w:rFonts w:ascii="Corbel" w:hAnsi="Corbel" w:cstheme="minorBidi"/>
                <w:sz w:val="22"/>
                <w:szCs w:val="22"/>
                <w:lang w:val="en-GB"/>
              </w:rPr>
              <w:t>SIA</w:t>
            </w:r>
          </w:p>
          <w:p w14:paraId="220A8AB1" w14:textId="3012AADD" w:rsidR="00CD56FC" w:rsidRPr="00EF1F01" w:rsidRDefault="00CD56FC">
            <w:pPr>
              <w:jc w:val="both"/>
              <w:rPr>
                <w:rFonts w:ascii="Corbel" w:hAnsi="Corbel" w:cs="Arial"/>
                <w:sz w:val="22"/>
                <w:szCs w:val="22"/>
                <w:lang w:val="en-GB"/>
              </w:rPr>
            </w:pPr>
            <w:r w:rsidRPr="00EF1F01">
              <w:rPr>
                <w:rFonts w:ascii="Corbel" w:hAnsi="Corbel" w:cs="Arial"/>
                <w:sz w:val="22"/>
                <w:szCs w:val="22"/>
                <w:lang w:val="en-GB"/>
              </w:rPr>
              <w:t>TBT</w:t>
            </w:r>
          </w:p>
          <w:p w14:paraId="6BA8D496" w14:textId="7C194A83" w:rsidR="00672535" w:rsidRPr="00EF1F01" w:rsidRDefault="00672535">
            <w:pPr>
              <w:jc w:val="both"/>
              <w:rPr>
                <w:rFonts w:ascii="Corbel" w:hAnsi="Corbel" w:cs="Arial"/>
                <w:sz w:val="22"/>
                <w:szCs w:val="22"/>
                <w:lang w:val="en-GB"/>
              </w:rPr>
            </w:pPr>
            <w:r w:rsidRPr="00EF1F01">
              <w:rPr>
                <w:rFonts w:ascii="Corbel" w:hAnsi="Corbel" w:cs="Arial"/>
                <w:sz w:val="22"/>
                <w:szCs w:val="22"/>
                <w:lang w:val="en-GB"/>
              </w:rPr>
              <w:t>UNCTAD</w:t>
            </w:r>
          </w:p>
          <w:p w14:paraId="7305CB2E" w14:textId="77777777" w:rsidR="0092133C" w:rsidRPr="00EF1F01" w:rsidRDefault="0092133C">
            <w:pPr>
              <w:jc w:val="both"/>
              <w:rPr>
                <w:rFonts w:ascii="Corbel" w:hAnsi="Corbel" w:cs="Arial"/>
                <w:sz w:val="22"/>
                <w:szCs w:val="22"/>
                <w:lang w:val="en-GB"/>
              </w:rPr>
            </w:pPr>
            <w:r w:rsidRPr="00EF1F01">
              <w:rPr>
                <w:rFonts w:ascii="Corbel" w:hAnsi="Corbel" w:cs="Arial"/>
                <w:sz w:val="22"/>
                <w:szCs w:val="22"/>
                <w:lang w:val="en-GB"/>
              </w:rPr>
              <w:t>WCO</w:t>
            </w:r>
          </w:p>
          <w:p w14:paraId="43E0E54E" w14:textId="38308ED9" w:rsidR="0092133C" w:rsidRPr="00EF1F01" w:rsidRDefault="0092133C">
            <w:pPr>
              <w:jc w:val="both"/>
              <w:rPr>
                <w:rFonts w:ascii="Corbel" w:hAnsi="Corbel" w:cs="Arial"/>
                <w:sz w:val="22"/>
                <w:szCs w:val="22"/>
                <w:lang w:val="en-GB"/>
              </w:rPr>
            </w:pPr>
            <w:r w:rsidRPr="00EF1F01">
              <w:rPr>
                <w:rFonts w:ascii="Corbel" w:hAnsi="Corbel" w:cs="Arial"/>
                <w:sz w:val="22"/>
                <w:szCs w:val="22"/>
                <w:lang w:val="en-GB"/>
              </w:rPr>
              <w:t>WTO</w:t>
            </w:r>
          </w:p>
        </w:tc>
        <w:tc>
          <w:tcPr>
            <w:tcW w:w="5848" w:type="dxa"/>
            <w:hideMark/>
          </w:tcPr>
          <w:p w14:paraId="5BFC4D3D" w14:textId="3580CCF8" w:rsidR="002D0ACE" w:rsidRPr="00EF1F01" w:rsidRDefault="002D0ACE">
            <w:pPr>
              <w:rPr>
                <w:rFonts w:ascii="Corbel" w:hAnsi="Corbel" w:cs="Arial"/>
                <w:sz w:val="22"/>
                <w:szCs w:val="22"/>
                <w:lang w:val="en-GB"/>
              </w:rPr>
            </w:pPr>
            <w:r w:rsidRPr="00EF1F01">
              <w:rPr>
                <w:rFonts w:ascii="Corbel" w:hAnsi="Corbel" w:cs="Arial"/>
                <w:sz w:val="22"/>
                <w:szCs w:val="22"/>
              </w:rPr>
              <w:t>Arab Anti-Corruption and Integrity Network</w:t>
            </w:r>
          </w:p>
          <w:p w14:paraId="09300D44" w14:textId="4C546039" w:rsidR="006B0754" w:rsidRPr="00EF1F01" w:rsidRDefault="001076B5">
            <w:pPr>
              <w:rPr>
                <w:rFonts w:ascii="Corbel" w:hAnsi="Corbel" w:cs="Arial"/>
                <w:sz w:val="22"/>
                <w:szCs w:val="22"/>
                <w:lang w:val="en-GB"/>
              </w:rPr>
            </w:pPr>
            <w:r w:rsidRPr="00EF1F01">
              <w:rPr>
                <w:rFonts w:ascii="Corbel" w:hAnsi="Corbel" w:cs="Arial"/>
                <w:sz w:val="22"/>
                <w:szCs w:val="22"/>
                <w:lang w:val="en-GB"/>
              </w:rPr>
              <w:t>Arab Customs Union</w:t>
            </w:r>
          </w:p>
          <w:p w14:paraId="6176AF6A" w14:textId="77777777" w:rsidR="00136F1F" w:rsidRDefault="00DB087A" w:rsidP="00136F1F">
            <w:pPr>
              <w:rPr>
                <w:rFonts w:ascii="Corbel" w:hAnsi="Corbel" w:cs="Arial"/>
                <w:bCs/>
                <w:sz w:val="22"/>
                <w:szCs w:val="22"/>
                <w:lang w:val="en-GB"/>
              </w:rPr>
            </w:pPr>
            <w:r w:rsidRPr="00EF1F01">
              <w:rPr>
                <w:rFonts w:ascii="Corbel" w:hAnsi="Corbel" w:cs="Arial"/>
                <w:bCs/>
                <w:sz w:val="22"/>
                <w:szCs w:val="22"/>
                <w:lang w:val="en-GB"/>
              </w:rPr>
              <w:t>Authorized Economic Operators</w:t>
            </w:r>
          </w:p>
          <w:p w14:paraId="7D60E8BB" w14:textId="24132846" w:rsidR="00136F1F" w:rsidRPr="00136F1F" w:rsidRDefault="00136F1F" w:rsidP="00136F1F">
            <w:pPr>
              <w:rPr>
                <w:rFonts w:ascii="Corbel" w:hAnsi="Corbel" w:cs="Arial"/>
                <w:sz w:val="22"/>
                <w:szCs w:val="22"/>
                <w:lang w:val="en-GB"/>
              </w:rPr>
            </w:pPr>
            <w:r w:rsidRPr="00EF1F01">
              <w:rPr>
                <w:rFonts w:ascii="Corbel" w:hAnsi="Corbel" w:cs="Arial"/>
                <w:sz w:val="22"/>
                <w:szCs w:val="22"/>
                <w:lang w:val="en-GB"/>
              </w:rPr>
              <w:t>Agadir Technical Unit</w:t>
            </w:r>
          </w:p>
          <w:p w14:paraId="37825882" w14:textId="6AF969E8" w:rsidR="00136F1F" w:rsidRPr="00136F1F" w:rsidRDefault="00136F1F" w:rsidP="00136F1F">
            <w:pPr>
              <w:rPr>
                <w:rFonts w:ascii="Corbel" w:hAnsi="Corbel" w:cs="Arial"/>
                <w:bCs/>
                <w:sz w:val="22"/>
                <w:szCs w:val="22"/>
                <w:lang w:val="en-GB"/>
              </w:rPr>
            </w:pPr>
            <w:r w:rsidRPr="00136F1F">
              <w:rPr>
                <w:rFonts w:ascii="Corbel" w:hAnsi="Corbel"/>
                <w:sz w:val="22"/>
                <w:szCs w:val="22"/>
                <w:lang w:val="en-GB"/>
              </w:rPr>
              <w:t xml:space="preserve">African Continental Free Trade Area </w:t>
            </w:r>
          </w:p>
          <w:p w14:paraId="338647DB" w14:textId="170BE0FD" w:rsidR="00EA5B2B" w:rsidRPr="00EF1F01" w:rsidRDefault="00EA5B2B">
            <w:pPr>
              <w:rPr>
                <w:rFonts w:ascii="Corbel" w:hAnsi="Corbel" w:cs="Arial"/>
                <w:sz w:val="22"/>
                <w:szCs w:val="22"/>
                <w:lang w:val="en-GB"/>
              </w:rPr>
            </w:pPr>
            <w:r w:rsidRPr="00EF1F01">
              <w:rPr>
                <w:rFonts w:ascii="Corbel" w:hAnsi="Corbel" w:cs="Arial"/>
                <w:sz w:val="22"/>
                <w:szCs w:val="22"/>
                <w:lang w:val="en-GB"/>
              </w:rPr>
              <w:t xml:space="preserve">Egypt Customs Authority </w:t>
            </w:r>
          </w:p>
          <w:p w14:paraId="60F327EA" w14:textId="03EBC4C9" w:rsidR="006B0754" w:rsidRPr="00EF1F01" w:rsidRDefault="006B0754">
            <w:pPr>
              <w:rPr>
                <w:rFonts w:ascii="Corbel" w:hAnsi="Corbel" w:cs="Arial"/>
                <w:sz w:val="22"/>
                <w:szCs w:val="22"/>
                <w:lang w:val="en-GB"/>
              </w:rPr>
            </w:pPr>
            <w:bookmarkStart w:id="1" w:name="_Hlk69654635"/>
            <w:r w:rsidRPr="00EF1F01">
              <w:rPr>
                <w:rFonts w:ascii="Corbel" w:hAnsi="Corbel" w:cs="Arial"/>
                <w:sz w:val="22"/>
                <w:szCs w:val="22"/>
                <w:lang w:val="en-GB"/>
              </w:rPr>
              <w:t>Economic and Social Council</w:t>
            </w:r>
            <w:r w:rsidR="00B85808" w:rsidRPr="00EF1F01">
              <w:rPr>
                <w:rFonts w:ascii="Corbel" w:hAnsi="Corbel" w:cs="Arial"/>
                <w:sz w:val="22"/>
                <w:szCs w:val="22"/>
                <w:lang w:val="en-GB"/>
              </w:rPr>
              <w:t xml:space="preserve"> of the League of Arab States</w:t>
            </w:r>
          </w:p>
          <w:bookmarkEnd w:id="1"/>
          <w:p w14:paraId="1D0C41D0" w14:textId="0DED3019" w:rsidR="00EA5B2B" w:rsidRDefault="00EA5B2B">
            <w:pPr>
              <w:rPr>
                <w:rFonts w:ascii="Corbel" w:hAnsi="Corbel" w:cs="Arial"/>
                <w:sz w:val="22"/>
                <w:szCs w:val="22"/>
                <w:lang w:val="en-GB"/>
              </w:rPr>
            </w:pPr>
            <w:r w:rsidRPr="00EF1F01">
              <w:rPr>
                <w:rFonts w:ascii="Corbel" w:hAnsi="Corbel" w:cs="Arial"/>
                <w:sz w:val="22"/>
                <w:szCs w:val="22"/>
                <w:lang w:val="en-GB"/>
              </w:rPr>
              <w:t>General Organization of Imports and Exports Control</w:t>
            </w:r>
            <w:r w:rsidR="00B85808" w:rsidRPr="00EF1F01">
              <w:rPr>
                <w:rFonts w:ascii="Corbel" w:hAnsi="Corbel" w:cs="Arial"/>
                <w:sz w:val="22"/>
                <w:szCs w:val="22"/>
                <w:lang w:val="en-GB"/>
              </w:rPr>
              <w:t xml:space="preserve"> of Egypt</w:t>
            </w:r>
          </w:p>
          <w:p w14:paraId="5F5AF583" w14:textId="1903A6CD" w:rsidR="00E201F0" w:rsidRPr="00EF1F01" w:rsidRDefault="00E201F0">
            <w:pPr>
              <w:rPr>
                <w:rFonts w:ascii="Corbel" w:hAnsi="Corbel" w:cs="Arial"/>
                <w:sz w:val="22"/>
                <w:szCs w:val="22"/>
                <w:lang w:val="en-GB"/>
              </w:rPr>
            </w:pPr>
            <w:r w:rsidRPr="4F6DD0A6">
              <w:rPr>
                <w:rFonts w:ascii="Corbel" w:hAnsi="Corbel" w:cstheme="minorBidi"/>
                <w:sz w:val="22"/>
                <w:szCs w:val="22"/>
                <w:lang w:val="en-GB"/>
              </w:rPr>
              <w:t xml:space="preserve">Gender Trade Impact Assessment </w:t>
            </w:r>
          </w:p>
          <w:p w14:paraId="355B9C27" w14:textId="38B40C7A" w:rsidR="00BC198D" w:rsidRPr="00EF1F01" w:rsidRDefault="00BC198D">
            <w:pPr>
              <w:rPr>
                <w:rFonts w:ascii="Corbel" w:hAnsi="Corbel" w:cs="Arial"/>
                <w:sz w:val="22"/>
                <w:szCs w:val="22"/>
                <w:lang w:val="en-GB"/>
              </w:rPr>
            </w:pPr>
            <w:r w:rsidRPr="00EF1F01">
              <w:rPr>
                <w:rFonts w:ascii="Corbel" w:hAnsi="Corbel" w:cs="Arial"/>
                <w:sz w:val="22"/>
                <w:szCs w:val="22"/>
                <w:lang w:val="en-GB"/>
              </w:rPr>
              <w:t>Jordan National Single Window</w:t>
            </w:r>
          </w:p>
          <w:p w14:paraId="423B74FF" w14:textId="79BC08B8" w:rsidR="006B0754" w:rsidRDefault="006B0754">
            <w:pPr>
              <w:rPr>
                <w:rFonts w:ascii="Corbel" w:hAnsi="Corbel" w:cs="Arial"/>
                <w:sz w:val="22"/>
                <w:szCs w:val="22"/>
                <w:lang w:val="en-GB"/>
              </w:rPr>
            </w:pPr>
            <w:r w:rsidRPr="00EF1F01">
              <w:rPr>
                <w:rFonts w:ascii="Corbel" w:hAnsi="Corbel" w:cs="Arial"/>
                <w:sz w:val="22"/>
                <w:szCs w:val="22"/>
                <w:lang w:val="en-GB"/>
              </w:rPr>
              <w:t>League of Arab States</w:t>
            </w:r>
          </w:p>
          <w:p w14:paraId="3DA786A9" w14:textId="6DF0115E" w:rsidR="00E201F0" w:rsidRPr="00EF1F01" w:rsidRDefault="00E201F0">
            <w:pPr>
              <w:rPr>
                <w:rFonts w:ascii="Corbel" w:hAnsi="Corbel" w:cs="Arial"/>
                <w:sz w:val="22"/>
                <w:szCs w:val="22"/>
                <w:lang w:val="en-GB"/>
              </w:rPr>
            </w:pPr>
            <w:r w:rsidRPr="001E4C46">
              <w:rPr>
                <w:rFonts w:ascii="Calibri" w:eastAsia="Times New Roman" w:hAnsi="Calibri" w:cs="Calibri"/>
                <w:sz w:val="22"/>
                <w:szCs w:val="22"/>
                <w:lang w:val="en-GB" w:eastAsia="en-US"/>
              </w:rPr>
              <w:t>L</w:t>
            </w:r>
            <w:r>
              <w:rPr>
                <w:rFonts w:ascii="Calibri" w:eastAsia="Times New Roman" w:hAnsi="Calibri" w:cs="Calibri"/>
                <w:sz w:val="22"/>
                <w:szCs w:val="22"/>
                <w:lang w:val="en-GB" w:eastAsia="en-US"/>
              </w:rPr>
              <w:t>east Developed Countries</w:t>
            </w:r>
          </w:p>
          <w:p w14:paraId="79012F93" w14:textId="3564BA7A" w:rsidR="00BC198D" w:rsidRPr="00EF1F01" w:rsidRDefault="00BC198D">
            <w:pPr>
              <w:rPr>
                <w:rFonts w:ascii="Corbel" w:hAnsi="Corbel" w:cs="Arial"/>
                <w:sz w:val="22"/>
                <w:szCs w:val="22"/>
                <w:lang w:val="en-GB"/>
              </w:rPr>
            </w:pPr>
            <w:r w:rsidRPr="00EF1F01">
              <w:rPr>
                <w:rFonts w:ascii="Corbel" w:hAnsi="Corbel" w:cs="Arial"/>
                <w:sz w:val="22"/>
                <w:szCs w:val="22"/>
                <w:lang w:val="en-GB"/>
              </w:rPr>
              <w:t>National Single Window</w:t>
            </w:r>
          </w:p>
          <w:p w14:paraId="6721DEDE" w14:textId="6E4F7324" w:rsidR="00EA5B2B" w:rsidRPr="00EF1F01" w:rsidRDefault="00EA5B2B">
            <w:pPr>
              <w:rPr>
                <w:rFonts w:ascii="Corbel" w:hAnsi="Corbel" w:cs="Arial"/>
                <w:sz w:val="22"/>
                <w:szCs w:val="22"/>
                <w:lang w:val="en-GB"/>
              </w:rPr>
            </w:pPr>
            <w:r w:rsidRPr="00EF1F01">
              <w:rPr>
                <w:rFonts w:ascii="Corbel" w:hAnsi="Corbel" w:cs="Arial"/>
                <w:sz w:val="22"/>
                <w:szCs w:val="22"/>
                <w:lang w:val="en-GB"/>
              </w:rPr>
              <w:t>Pan Arab Free Trade Area</w:t>
            </w:r>
          </w:p>
          <w:p w14:paraId="6203F929" w14:textId="22BC432C" w:rsidR="00997714" w:rsidRDefault="00997714" w:rsidP="00BC198D">
            <w:pPr>
              <w:jc w:val="both"/>
              <w:rPr>
                <w:rFonts w:ascii="Corbel" w:hAnsi="Corbel"/>
                <w:sz w:val="22"/>
                <w:szCs w:val="22"/>
                <w:lang w:val="en-GB"/>
              </w:rPr>
            </w:pPr>
            <w:r w:rsidRPr="00EF1F01">
              <w:rPr>
                <w:rFonts w:ascii="Corbel" w:hAnsi="Corbel"/>
                <w:sz w:val="22"/>
                <w:szCs w:val="22"/>
                <w:lang w:val="en-GB"/>
              </w:rPr>
              <w:t>Regional Programme Document</w:t>
            </w:r>
          </w:p>
          <w:p w14:paraId="2B69ADB3" w14:textId="0DED9C63" w:rsidR="00E201F0" w:rsidRPr="00EF1F01" w:rsidRDefault="00E201F0" w:rsidP="00BC198D">
            <w:pPr>
              <w:jc w:val="both"/>
              <w:rPr>
                <w:rFonts w:ascii="Corbel" w:hAnsi="Corbel"/>
                <w:sz w:val="22"/>
                <w:szCs w:val="22"/>
                <w:lang w:val="en-GB"/>
              </w:rPr>
            </w:pPr>
            <w:r w:rsidRPr="4F6DD0A6">
              <w:rPr>
                <w:rFonts w:ascii="Corbel" w:hAnsi="Corbel" w:cstheme="minorBidi"/>
                <w:sz w:val="22"/>
                <w:szCs w:val="22"/>
                <w:lang w:val="en-GB"/>
              </w:rPr>
              <w:t xml:space="preserve">Small and Medium Enterprises </w:t>
            </w:r>
          </w:p>
          <w:p w14:paraId="2F9250B0" w14:textId="50A96E43" w:rsidR="00BC198D" w:rsidRDefault="00BC198D" w:rsidP="00BC198D">
            <w:pPr>
              <w:jc w:val="both"/>
              <w:rPr>
                <w:rFonts w:ascii="Corbel" w:hAnsi="Corbel"/>
                <w:sz w:val="22"/>
                <w:szCs w:val="22"/>
                <w:lang w:val="en-GB"/>
              </w:rPr>
            </w:pPr>
            <w:r w:rsidRPr="00EF1F01">
              <w:rPr>
                <w:rFonts w:ascii="Corbel" w:hAnsi="Corbel"/>
                <w:sz w:val="22"/>
                <w:szCs w:val="22"/>
                <w:lang w:val="en-GB"/>
              </w:rPr>
              <w:t>Sanitary and Phyto-sanitary</w:t>
            </w:r>
          </w:p>
          <w:p w14:paraId="0EF7D157" w14:textId="36985B23" w:rsidR="00E201F0" w:rsidRPr="00EF1F01" w:rsidRDefault="00E201F0" w:rsidP="00BC198D">
            <w:pPr>
              <w:jc w:val="both"/>
              <w:rPr>
                <w:rFonts w:ascii="Corbel" w:hAnsi="Corbel" w:cs="Arial"/>
                <w:sz w:val="22"/>
                <w:szCs w:val="22"/>
                <w:lang w:val="en-GB"/>
              </w:rPr>
            </w:pPr>
            <w:r w:rsidRPr="4F6DD0A6">
              <w:rPr>
                <w:rFonts w:ascii="Corbel" w:hAnsi="Corbel" w:cstheme="minorBidi"/>
                <w:sz w:val="22"/>
                <w:szCs w:val="22"/>
                <w:lang w:val="en-GB"/>
              </w:rPr>
              <w:t xml:space="preserve">Sustainable Impact Assessment </w:t>
            </w:r>
          </w:p>
          <w:p w14:paraId="366C66F4" w14:textId="714C8643" w:rsidR="00BC198D" w:rsidRPr="00EF1F01" w:rsidRDefault="00BC198D" w:rsidP="00BC198D">
            <w:pPr>
              <w:rPr>
                <w:rFonts w:ascii="Corbel" w:hAnsi="Corbel" w:cs="Arial"/>
                <w:sz w:val="22"/>
                <w:szCs w:val="22"/>
                <w:lang w:val="en-GB"/>
              </w:rPr>
            </w:pPr>
            <w:r w:rsidRPr="00EF1F01">
              <w:rPr>
                <w:rFonts w:ascii="Corbel" w:hAnsi="Corbel" w:cs="Arial"/>
                <w:sz w:val="22"/>
                <w:szCs w:val="22"/>
                <w:lang w:val="en-GB"/>
              </w:rPr>
              <w:t>Technical Barriers to Trade</w:t>
            </w:r>
          </w:p>
          <w:p w14:paraId="1FC7B027" w14:textId="79A26918" w:rsidR="00672535" w:rsidRPr="00EF1F01" w:rsidRDefault="00672535" w:rsidP="00BC198D">
            <w:pPr>
              <w:rPr>
                <w:rFonts w:ascii="Corbel" w:hAnsi="Corbel" w:cs="Arial"/>
                <w:sz w:val="22"/>
                <w:szCs w:val="22"/>
                <w:lang w:val="en-GB"/>
              </w:rPr>
            </w:pPr>
            <w:r w:rsidRPr="00EF1F01">
              <w:rPr>
                <w:rFonts w:ascii="Corbel" w:hAnsi="Corbel" w:cs="Arial"/>
                <w:sz w:val="22"/>
                <w:szCs w:val="22"/>
                <w:lang w:val="en-GB"/>
              </w:rPr>
              <w:t>United Nations Conference on Trade and Development</w:t>
            </w:r>
          </w:p>
          <w:p w14:paraId="293C0A3F" w14:textId="2CFB2FC6" w:rsidR="0092133C" w:rsidRPr="00EF1F01" w:rsidRDefault="00B85808">
            <w:pPr>
              <w:rPr>
                <w:rFonts w:ascii="Corbel" w:hAnsi="Corbel"/>
                <w:sz w:val="22"/>
                <w:szCs w:val="22"/>
                <w:lang w:val="en-GB"/>
              </w:rPr>
            </w:pPr>
            <w:r w:rsidRPr="00EF1F01">
              <w:rPr>
                <w:rFonts w:ascii="Corbel" w:hAnsi="Corbel"/>
                <w:sz w:val="22"/>
                <w:szCs w:val="22"/>
                <w:lang w:val="en-GB"/>
              </w:rPr>
              <w:t>World Customs Organization</w:t>
            </w:r>
          </w:p>
          <w:p w14:paraId="1CB2F5D6" w14:textId="0B18AC39" w:rsidR="00B85808" w:rsidRPr="00EF1F01" w:rsidRDefault="00B85808" w:rsidP="00B85808">
            <w:pPr>
              <w:rPr>
                <w:rFonts w:ascii="Corbel" w:hAnsi="Corbel"/>
                <w:sz w:val="22"/>
                <w:szCs w:val="22"/>
                <w:lang w:val="en-GB"/>
              </w:rPr>
            </w:pPr>
            <w:r w:rsidRPr="00EF1F01">
              <w:rPr>
                <w:rFonts w:ascii="Corbel" w:hAnsi="Corbel"/>
                <w:sz w:val="22"/>
                <w:szCs w:val="22"/>
                <w:lang w:val="en-GB"/>
              </w:rPr>
              <w:t>World Trade Organization</w:t>
            </w:r>
          </w:p>
          <w:p w14:paraId="3B6494F3" w14:textId="77777777" w:rsidR="00B85808" w:rsidRPr="00EF1F01" w:rsidRDefault="00B85808">
            <w:pPr>
              <w:rPr>
                <w:rFonts w:ascii="Corbel" w:hAnsi="Corbel"/>
                <w:sz w:val="22"/>
                <w:szCs w:val="22"/>
                <w:lang w:val="en-GB"/>
              </w:rPr>
            </w:pPr>
          </w:p>
          <w:p w14:paraId="46D2527C" w14:textId="17C98690" w:rsidR="00B85808" w:rsidRPr="00EF1F01" w:rsidRDefault="00B85808" w:rsidP="00B85808">
            <w:pPr>
              <w:rPr>
                <w:sz w:val="22"/>
                <w:szCs w:val="22"/>
                <w:lang w:val="en-GB"/>
              </w:rPr>
            </w:pPr>
          </w:p>
        </w:tc>
      </w:tr>
    </w:tbl>
    <w:p w14:paraId="6CC9662A" w14:textId="0AC33CD8" w:rsidR="00D12064" w:rsidRPr="00EF1F01" w:rsidRDefault="00932424" w:rsidP="000168EC">
      <w:pPr>
        <w:pStyle w:val="Heading1"/>
        <w:numPr>
          <w:ilvl w:val="0"/>
          <w:numId w:val="21"/>
        </w:numPr>
        <w:rPr>
          <w:lang w:val="en-GB"/>
        </w:rPr>
      </w:pPr>
      <w:r w:rsidRPr="00EF1F01">
        <w:rPr>
          <w:lang w:val="en-GB"/>
        </w:rPr>
        <w:br w:type="page"/>
      </w:r>
      <w:bookmarkStart w:id="2" w:name="_Toc103506548"/>
      <w:r w:rsidR="00D12064" w:rsidRPr="00B14E92">
        <w:rPr>
          <w:lang w:val="en-GB"/>
        </w:rPr>
        <w:lastRenderedPageBreak/>
        <w:t>Executive Summary</w:t>
      </w:r>
      <w:bookmarkEnd w:id="2"/>
    </w:p>
    <w:p w14:paraId="05615D6F" w14:textId="77777777" w:rsidR="00D12064" w:rsidRPr="00EF1F01" w:rsidRDefault="00A06682" w:rsidP="00D12064">
      <w:pPr>
        <w:pStyle w:val="ListParagraph"/>
        <w:ind w:left="0"/>
        <w:outlineLvl w:val="0"/>
        <w:rPr>
          <w:rFonts w:ascii="Corbel" w:eastAsia="MS Mincho" w:hAnsi="Corbel" w:cs="Arial"/>
          <w:sz w:val="22"/>
          <w:szCs w:val="22"/>
          <w:lang w:val="en-GB" w:eastAsia="ja-JP"/>
        </w:rPr>
      </w:pPr>
      <w:bookmarkStart w:id="3" w:name="_Hlk40623328"/>
      <w:bookmarkStart w:id="4" w:name="_Toc103506549"/>
      <w:r>
        <w:rPr>
          <w:rFonts w:ascii="Corbel" w:eastAsia="MS Mincho" w:hAnsi="Corbel" w:cs="Arial"/>
          <w:sz w:val="22"/>
          <w:szCs w:val="22"/>
          <w:lang w:val="en-GB" w:eastAsia="ja-JP"/>
        </w:rPr>
        <w:pict w14:anchorId="3D3A5F88">
          <v:rect id="_x0000_i1025" style="width:522pt;height:1.5pt" o:hralign="center" o:hrstd="t" o:hrnoshade="t" o:hr="t" fillcolor="#17365d" stroked="f"/>
        </w:pict>
      </w:r>
      <w:bookmarkEnd w:id="3"/>
      <w:bookmarkEnd w:id="4"/>
    </w:p>
    <w:p w14:paraId="5C99CE13" w14:textId="77777777" w:rsidR="00605158" w:rsidRDefault="00605158" w:rsidP="001D6E53">
      <w:pPr>
        <w:pStyle w:val="ListParagraph"/>
        <w:tabs>
          <w:tab w:val="left" w:pos="360"/>
        </w:tabs>
        <w:spacing w:line="276" w:lineRule="auto"/>
        <w:ind w:left="0"/>
        <w:contextualSpacing w:val="0"/>
        <w:jc w:val="both"/>
        <w:rPr>
          <w:rFonts w:ascii="Corbel" w:hAnsi="Corbel" w:cs="Arial"/>
          <w:sz w:val="22"/>
          <w:szCs w:val="22"/>
          <w:lang w:val="en-US"/>
        </w:rPr>
      </w:pPr>
    </w:p>
    <w:p w14:paraId="5C899F71" w14:textId="4F0397C6" w:rsidR="00605158" w:rsidRPr="00605158" w:rsidRDefault="00605158" w:rsidP="002D3D38">
      <w:pPr>
        <w:tabs>
          <w:tab w:val="left" w:pos="360"/>
        </w:tabs>
        <w:spacing w:line="276" w:lineRule="auto"/>
        <w:jc w:val="both"/>
        <w:rPr>
          <w:rFonts w:ascii="Corbel" w:hAnsi="Corbel" w:cs="Arial"/>
          <w:sz w:val="22"/>
          <w:szCs w:val="22"/>
          <w:lang w:val="en-GB"/>
        </w:rPr>
      </w:pPr>
      <w:r w:rsidRPr="00605158">
        <w:rPr>
          <w:rFonts w:ascii="Corbel" w:hAnsi="Corbel" w:cs="Arial"/>
          <w:sz w:val="22"/>
          <w:szCs w:val="22"/>
          <w:lang w:val="en-GB"/>
        </w:rPr>
        <w:t>Trade</w:t>
      </w:r>
      <w:r w:rsidR="00F2145C">
        <w:rPr>
          <w:rFonts w:ascii="Corbel" w:hAnsi="Corbel" w:cs="Arial"/>
          <w:sz w:val="22"/>
          <w:szCs w:val="22"/>
          <w:lang w:val="en-GB"/>
        </w:rPr>
        <w:t xml:space="preserve"> </w:t>
      </w:r>
      <w:r w:rsidRPr="00605158">
        <w:rPr>
          <w:rFonts w:ascii="Corbel" w:hAnsi="Corbel" w:cs="Arial"/>
          <w:sz w:val="22"/>
          <w:szCs w:val="22"/>
          <w:lang w:val="en-GB"/>
        </w:rPr>
        <w:t xml:space="preserve">has not </w:t>
      </w:r>
      <w:r w:rsidR="00F2145C">
        <w:rPr>
          <w:rFonts w:ascii="Corbel" w:hAnsi="Corbel" w:cs="Arial"/>
          <w:sz w:val="22"/>
          <w:szCs w:val="22"/>
          <w:lang w:val="en-GB"/>
        </w:rPr>
        <w:t xml:space="preserve">yet </w:t>
      </w:r>
      <w:r w:rsidRPr="00605158">
        <w:rPr>
          <w:rFonts w:ascii="Corbel" w:hAnsi="Corbel" w:cs="Arial"/>
          <w:sz w:val="22"/>
          <w:szCs w:val="22"/>
          <w:lang w:val="en-GB"/>
        </w:rPr>
        <w:t xml:space="preserve">played its potential role in enhancing sustainable growth and development in the Arab region when compared to other regions in the world. </w:t>
      </w:r>
      <w:r w:rsidR="00A55F70">
        <w:rPr>
          <w:rFonts w:ascii="Corbel" w:hAnsi="Corbel" w:cs="Arial"/>
          <w:sz w:val="22"/>
          <w:szCs w:val="22"/>
          <w:lang w:val="en-GB"/>
        </w:rPr>
        <w:t xml:space="preserve">With due consideration to </w:t>
      </w:r>
      <w:r w:rsidR="00175CC6">
        <w:rPr>
          <w:rFonts w:ascii="Corbel" w:hAnsi="Corbel" w:cs="Arial"/>
          <w:sz w:val="22"/>
          <w:szCs w:val="22"/>
          <w:lang w:val="en-GB"/>
        </w:rPr>
        <w:t xml:space="preserve">the </w:t>
      </w:r>
      <w:r w:rsidR="00A55F70">
        <w:rPr>
          <w:rFonts w:ascii="Corbel" w:hAnsi="Corbel" w:cs="Arial"/>
          <w:sz w:val="22"/>
          <w:szCs w:val="22"/>
          <w:lang w:val="en-GB"/>
        </w:rPr>
        <w:t>diversity in size and composition of countr</w:t>
      </w:r>
      <w:r w:rsidR="00882707">
        <w:rPr>
          <w:rFonts w:ascii="Corbel" w:hAnsi="Corbel" w:cs="Arial"/>
          <w:sz w:val="22"/>
          <w:szCs w:val="22"/>
          <w:lang w:val="en-GB"/>
        </w:rPr>
        <w:t xml:space="preserve">ies’ economies, </w:t>
      </w:r>
      <w:r w:rsidRPr="00605158">
        <w:rPr>
          <w:rFonts w:ascii="Corbel" w:hAnsi="Corbel" w:cs="Arial"/>
          <w:sz w:val="22"/>
          <w:szCs w:val="22"/>
          <w:lang w:val="en-GB"/>
        </w:rPr>
        <w:t>the ratio of total trade to GDP range</w:t>
      </w:r>
      <w:r w:rsidR="00F2145C">
        <w:rPr>
          <w:rFonts w:ascii="Corbel" w:hAnsi="Corbel" w:cs="Arial"/>
          <w:sz w:val="22"/>
          <w:szCs w:val="22"/>
          <w:lang w:val="en-GB"/>
        </w:rPr>
        <w:t>s</w:t>
      </w:r>
      <w:r w:rsidRPr="00605158">
        <w:rPr>
          <w:rFonts w:ascii="Corbel" w:hAnsi="Corbel" w:cs="Arial"/>
          <w:sz w:val="22"/>
          <w:szCs w:val="22"/>
          <w:lang w:val="en-GB"/>
        </w:rPr>
        <w:t xml:space="preserve"> from more than 163 percent (130 percent for goods and 33 percent for services) in </w:t>
      </w:r>
      <w:r w:rsidR="00AB5CAE">
        <w:rPr>
          <w:rFonts w:ascii="Corbel" w:hAnsi="Corbel" w:cs="Arial"/>
          <w:sz w:val="22"/>
          <w:szCs w:val="22"/>
          <w:lang w:val="en-GB"/>
        </w:rPr>
        <w:t xml:space="preserve">the </w:t>
      </w:r>
      <w:r w:rsidRPr="00605158">
        <w:rPr>
          <w:rFonts w:ascii="Corbel" w:hAnsi="Corbel" w:cs="Arial"/>
          <w:sz w:val="22"/>
          <w:szCs w:val="22"/>
          <w:lang w:val="en-GB"/>
        </w:rPr>
        <w:t>United Arab Emirates to around 32 percent (26 percent for merchandise goods and 6 percent for services) in Sudan.</w:t>
      </w:r>
      <w:r w:rsidR="00F9273E">
        <w:rPr>
          <w:rStyle w:val="FootnoteReference"/>
          <w:rFonts w:ascii="Corbel" w:hAnsi="Corbel" w:cs="Arial"/>
          <w:sz w:val="22"/>
          <w:szCs w:val="22"/>
          <w:lang w:val="en-GB"/>
        </w:rPr>
        <w:footnoteReference w:id="2"/>
      </w:r>
      <w:r w:rsidRPr="00605158">
        <w:rPr>
          <w:rFonts w:ascii="Corbel" w:hAnsi="Corbel" w:cs="Arial"/>
          <w:sz w:val="22"/>
          <w:szCs w:val="22"/>
          <w:lang w:val="en-GB"/>
        </w:rPr>
        <w:t xml:space="preserve"> </w:t>
      </w:r>
      <w:r w:rsidR="00A55F70">
        <w:rPr>
          <w:rFonts w:ascii="Corbel" w:hAnsi="Corbel" w:cs="Arial"/>
          <w:sz w:val="22"/>
          <w:szCs w:val="22"/>
          <w:lang w:val="en-GB"/>
        </w:rPr>
        <w:t>It is to be noted that trade in</w:t>
      </w:r>
      <w:r w:rsidRPr="00605158">
        <w:rPr>
          <w:rFonts w:ascii="Corbel" w:hAnsi="Corbel" w:cs="Arial"/>
          <w:sz w:val="22"/>
          <w:szCs w:val="22"/>
          <w:lang w:val="en-GB"/>
        </w:rPr>
        <w:t xml:space="preserve"> oil accounts for a major proportion of trade openness indicator</w:t>
      </w:r>
      <w:r w:rsidR="00344A2C">
        <w:rPr>
          <w:rFonts w:ascii="Corbel" w:hAnsi="Corbel" w:cs="Arial"/>
          <w:sz w:val="22"/>
          <w:szCs w:val="22"/>
          <w:lang w:val="en-GB"/>
        </w:rPr>
        <w:t xml:space="preserve"> in the region</w:t>
      </w:r>
      <w:r w:rsidR="00424464">
        <w:rPr>
          <w:rFonts w:ascii="Corbel" w:hAnsi="Corbel" w:cs="Arial"/>
          <w:sz w:val="22"/>
          <w:szCs w:val="22"/>
          <w:lang w:val="en-GB"/>
        </w:rPr>
        <w:t>,</w:t>
      </w:r>
      <w:r w:rsidR="005B21D7">
        <w:rPr>
          <w:rFonts w:ascii="Corbel" w:hAnsi="Corbel" w:cs="Arial"/>
          <w:sz w:val="22"/>
          <w:szCs w:val="22"/>
          <w:lang w:val="en-GB"/>
        </w:rPr>
        <w:t xml:space="preserve"> with</w:t>
      </w:r>
      <w:r w:rsidRPr="00605158">
        <w:rPr>
          <w:rFonts w:ascii="Corbel" w:hAnsi="Corbel" w:cs="Arial"/>
          <w:sz w:val="22"/>
          <w:szCs w:val="22"/>
          <w:lang w:val="en-GB"/>
        </w:rPr>
        <w:t xml:space="preserve"> </w:t>
      </w:r>
      <w:r w:rsidR="00424464" w:rsidRPr="00605158">
        <w:rPr>
          <w:rFonts w:ascii="Corbel" w:hAnsi="Corbel" w:cs="Arial"/>
          <w:sz w:val="22"/>
          <w:szCs w:val="22"/>
          <w:lang w:val="en-GB"/>
        </w:rPr>
        <w:t>fuel exports making up 45 percent of total merchandise exports compared to a global average of 12 percent</w:t>
      </w:r>
      <w:r w:rsidR="007015FC">
        <w:rPr>
          <w:rStyle w:val="FootnoteReference"/>
          <w:rFonts w:ascii="Corbel" w:hAnsi="Corbel" w:cs="Arial"/>
          <w:sz w:val="22"/>
          <w:szCs w:val="22"/>
          <w:lang w:val="en-GB"/>
        </w:rPr>
        <w:footnoteReference w:id="3"/>
      </w:r>
      <w:r w:rsidR="00E166C9">
        <w:rPr>
          <w:rFonts w:ascii="Corbel" w:hAnsi="Corbel" w:cs="Arial"/>
          <w:sz w:val="22"/>
          <w:szCs w:val="22"/>
          <w:lang w:val="en-GB"/>
        </w:rPr>
        <w:t xml:space="preserve">. </w:t>
      </w:r>
      <w:r w:rsidR="00BC249B" w:rsidRPr="00605158">
        <w:rPr>
          <w:rFonts w:ascii="Corbel" w:hAnsi="Corbel" w:cs="Arial"/>
          <w:sz w:val="22"/>
          <w:szCs w:val="22"/>
          <w:lang w:val="en-GB"/>
        </w:rPr>
        <w:t>All Arab countries are net food importers</w:t>
      </w:r>
      <w:r w:rsidR="00BB45D0">
        <w:rPr>
          <w:rFonts w:ascii="Corbel" w:hAnsi="Corbel" w:cs="Arial"/>
          <w:sz w:val="22"/>
          <w:szCs w:val="22"/>
          <w:lang w:val="en-GB"/>
        </w:rPr>
        <w:t>, with</w:t>
      </w:r>
      <w:r w:rsidR="00BC249B" w:rsidRPr="00605158">
        <w:rPr>
          <w:rFonts w:ascii="Corbel" w:hAnsi="Corbel" w:cs="Arial"/>
          <w:sz w:val="22"/>
          <w:szCs w:val="22"/>
          <w:lang w:val="en-GB"/>
        </w:rPr>
        <w:t xml:space="preserve"> food imports mak</w:t>
      </w:r>
      <w:r w:rsidR="00BB45D0">
        <w:rPr>
          <w:rFonts w:ascii="Corbel" w:hAnsi="Corbel" w:cs="Arial"/>
          <w:sz w:val="22"/>
          <w:szCs w:val="22"/>
          <w:lang w:val="en-GB"/>
        </w:rPr>
        <w:t>ing</w:t>
      </w:r>
      <w:r w:rsidR="00BC249B" w:rsidRPr="00605158">
        <w:rPr>
          <w:rFonts w:ascii="Corbel" w:hAnsi="Corbel" w:cs="Arial"/>
          <w:sz w:val="22"/>
          <w:szCs w:val="22"/>
          <w:lang w:val="en-GB"/>
        </w:rPr>
        <w:t xml:space="preserve"> up 13 percent of total imports, compared to </w:t>
      </w:r>
      <w:r w:rsidR="00BB45D0">
        <w:rPr>
          <w:rFonts w:ascii="Corbel" w:hAnsi="Corbel" w:cs="Arial"/>
          <w:sz w:val="22"/>
          <w:szCs w:val="22"/>
          <w:lang w:val="en-GB"/>
        </w:rPr>
        <w:t>a</w:t>
      </w:r>
      <w:r w:rsidR="00BC249B" w:rsidRPr="00605158">
        <w:rPr>
          <w:rFonts w:ascii="Corbel" w:hAnsi="Corbel" w:cs="Arial"/>
          <w:sz w:val="22"/>
          <w:szCs w:val="22"/>
          <w:lang w:val="en-GB"/>
        </w:rPr>
        <w:t xml:space="preserve"> global average of 8 percent.</w:t>
      </w:r>
      <w:r w:rsidR="00BB45D0">
        <w:rPr>
          <w:rStyle w:val="FootnoteReference"/>
          <w:rFonts w:ascii="Corbel" w:hAnsi="Corbel" w:cs="Arial"/>
          <w:sz w:val="22"/>
          <w:szCs w:val="22"/>
          <w:lang w:val="en-GB"/>
        </w:rPr>
        <w:footnoteReference w:id="4"/>
      </w:r>
      <w:r w:rsidR="002D3D38">
        <w:rPr>
          <w:rFonts w:ascii="Corbel" w:hAnsi="Corbel" w:cs="Arial"/>
          <w:sz w:val="22"/>
          <w:szCs w:val="22"/>
          <w:lang w:val="en-GB"/>
        </w:rPr>
        <w:t xml:space="preserve"> T</w:t>
      </w:r>
      <w:r w:rsidRPr="00605158">
        <w:rPr>
          <w:rFonts w:ascii="Corbel" w:hAnsi="Corbel" w:cs="Arial"/>
          <w:sz w:val="22"/>
          <w:szCs w:val="22"/>
          <w:lang w:val="en-GB"/>
        </w:rPr>
        <w:t>he potential of trade in services (</w:t>
      </w:r>
      <w:r w:rsidR="00F07F52" w:rsidRPr="00605158">
        <w:rPr>
          <w:rFonts w:ascii="Corbel" w:hAnsi="Corbel" w:cs="Arial"/>
          <w:sz w:val="22"/>
          <w:szCs w:val="22"/>
          <w:lang w:val="en-GB"/>
        </w:rPr>
        <w:t>e.g.,</w:t>
      </w:r>
      <w:r w:rsidRPr="00605158">
        <w:rPr>
          <w:rFonts w:ascii="Corbel" w:hAnsi="Corbel" w:cs="Arial"/>
          <w:sz w:val="22"/>
          <w:szCs w:val="22"/>
          <w:lang w:val="en-GB"/>
        </w:rPr>
        <w:t xml:space="preserve"> in tourism, and transport), </w:t>
      </w:r>
      <w:r w:rsidR="00443E9D">
        <w:rPr>
          <w:rFonts w:ascii="Corbel" w:hAnsi="Corbel" w:cs="Arial"/>
          <w:sz w:val="22"/>
          <w:szCs w:val="22"/>
          <w:lang w:val="en-GB"/>
        </w:rPr>
        <w:t xml:space="preserve">has not been tapped in the region, which is also </w:t>
      </w:r>
      <w:r w:rsidRPr="00605158">
        <w:rPr>
          <w:rFonts w:ascii="Corbel" w:hAnsi="Corbel" w:cs="Arial"/>
          <w:sz w:val="22"/>
          <w:szCs w:val="22"/>
          <w:lang w:val="en-GB"/>
        </w:rPr>
        <w:t>not highly engaged in world value chains.</w:t>
      </w:r>
      <w:r w:rsidR="00550E7C">
        <w:rPr>
          <w:rStyle w:val="FootnoteReference"/>
          <w:rFonts w:ascii="Corbel" w:hAnsi="Corbel" w:cs="Arial"/>
          <w:sz w:val="22"/>
          <w:szCs w:val="22"/>
          <w:lang w:val="en-GB"/>
        </w:rPr>
        <w:footnoteReference w:id="5"/>
      </w:r>
    </w:p>
    <w:p w14:paraId="26B68E97" w14:textId="77777777" w:rsidR="00605158" w:rsidRPr="00E550BC" w:rsidRDefault="00605158" w:rsidP="00E550BC">
      <w:pPr>
        <w:tabs>
          <w:tab w:val="left" w:pos="360"/>
        </w:tabs>
        <w:spacing w:line="276" w:lineRule="auto"/>
        <w:jc w:val="both"/>
        <w:rPr>
          <w:rFonts w:ascii="Corbel" w:hAnsi="Corbel" w:cs="Arial"/>
          <w:sz w:val="22"/>
          <w:szCs w:val="22"/>
          <w:lang w:val="en-GB"/>
        </w:rPr>
      </w:pPr>
    </w:p>
    <w:p w14:paraId="38FC28DE" w14:textId="68FBDDA0" w:rsidR="00605158" w:rsidRPr="00605158" w:rsidRDefault="00B66956" w:rsidP="00605158">
      <w:pPr>
        <w:pStyle w:val="ListParagraph"/>
        <w:tabs>
          <w:tab w:val="left" w:pos="360"/>
        </w:tabs>
        <w:spacing w:line="276" w:lineRule="auto"/>
        <w:ind w:left="0"/>
        <w:contextualSpacing w:val="0"/>
        <w:jc w:val="both"/>
        <w:rPr>
          <w:rFonts w:ascii="Corbel" w:hAnsi="Corbel" w:cs="Arial"/>
          <w:sz w:val="22"/>
          <w:szCs w:val="22"/>
          <w:lang w:val="en-GB"/>
        </w:rPr>
      </w:pPr>
      <w:r>
        <w:rPr>
          <w:rFonts w:ascii="Corbel" w:hAnsi="Corbel" w:cs="Arial"/>
          <w:sz w:val="22"/>
          <w:szCs w:val="22"/>
          <w:lang w:val="en-GB"/>
        </w:rPr>
        <w:t>Most Arab</w:t>
      </w:r>
      <w:r w:rsidR="00605158" w:rsidRPr="00605158">
        <w:rPr>
          <w:rFonts w:ascii="Corbel" w:hAnsi="Corbel" w:cs="Arial"/>
          <w:sz w:val="22"/>
          <w:szCs w:val="22"/>
          <w:lang w:val="en-GB"/>
        </w:rPr>
        <w:t xml:space="preserve"> countries are members of several preferential trade agreements</w:t>
      </w:r>
      <w:r w:rsidR="00296786">
        <w:rPr>
          <w:rFonts w:ascii="Corbel" w:hAnsi="Corbel" w:cs="Arial"/>
          <w:sz w:val="22"/>
          <w:szCs w:val="22"/>
          <w:lang w:val="en-GB"/>
        </w:rPr>
        <w:t>,</w:t>
      </w:r>
      <w:r w:rsidR="00605158" w:rsidRPr="00605158">
        <w:rPr>
          <w:rFonts w:ascii="Corbel" w:hAnsi="Corbel" w:cs="Arial"/>
          <w:sz w:val="22"/>
          <w:szCs w:val="22"/>
          <w:lang w:val="en-GB"/>
        </w:rPr>
        <w:t xml:space="preserve"> whether among themselves (</w:t>
      </w:r>
      <w:r w:rsidR="00F07F52" w:rsidRPr="00605158">
        <w:rPr>
          <w:rFonts w:ascii="Corbel" w:hAnsi="Corbel" w:cs="Arial"/>
          <w:sz w:val="22"/>
          <w:szCs w:val="22"/>
          <w:lang w:val="en-GB"/>
        </w:rPr>
        <w:t>e.g.,</w:t>
      </w:r>
      <w:r w:rsidR="00605158" w:rsidRPr="00605158">
        <w:rPr>
          <w:rFonts w:ascii="Corbel" w:hAnsi="Corbel" w:cs="Arial"/>
          <w:sz w:val="22"/>
          <w:szCs w:val="22"/>
          <w:lang w:val="en-GB"/>
        </w:rPr>
        <w:t xml:space="preserve"> Pan Arab Free Trade Area, Agadir, Gulf Cooperation Council, Arab Maghreb Union) or with </w:t>
      </w:r>
      <w:r w:rsidR="00296786">
        <w:rPr>
          <w:rFonts w:ascii="Corbel" w:hAnsi="Corbel" w:cs="Arial"/>
          <w:sz w:val="22"/>
          <w:szCs w:val="22"/>
          <w:lang w:val="en-GB"/>
        </w:rPr>
        <w:t>other</w:t>
      </w:r>
      <w:r w:rsidR="00605158" w:rsidRPr="00605158">
        <w:rPr>
          <w:rFonts w:ascii="Corbel" w:hAnsi="Corbel" w:cs="Arial"/>
          <w:sz w:val="22"/>
          <w:szCs w:val="22"/>
          <w:lang w:val="en-GB"/>
        </w:rPr>
        <w:t xml:space="preserve"> groupings (</w:t>
      </w:r>
      <w:r w:rsidR="00F07F52" w:rsidRPr="00605158">
        <w:rPr>
          <w:rFonts w:ascii="Corbel" w:hAnsi="Corbel" w:cs="Arial"/>
          <w:sz w:val="22"/>
          <w:szCs w:val="22"/>
          <w:lang w:val="en-GB"/>
        </w:rPr>
        <w:t>e.g.,</w:t>
      </w:r>
      <w:r w:rsidR="00605158" w:rsidRPr="00605158">
        <w:rPr>
          <w:rFonts w:ascii="Corbel" w:hAnsi="Corbel" w:cs="Arial"/>
          <w:sz w:val="22"/>
          <w:szCs w:val="22"/>
          <w:lang w:val="en-GB"/>
        </w:rPr>
        <w:t xml:space="preserve"> EU, USA, Canada COMESA, MECOSUR</w:t>
      </w:r>
      <w:r w:rsidR="003619EA">
        <w:rPr>
          <w:rFonts w:ascii="Corbel" w:hAnsi="Corbel" w:cs="Arial"/>
          <w:sz w:val="22"/>
          <w:szCs w:val="22"/>
          <w:lang w:val="en-GB"/>
        </w:rPr>
        <w:t>), whereby the implemented provisions are mostly limited to the</w:t>
      </w:r>
      <w:r w:rsidR="00605158" w:rsidRPr="00605158">
        <w:rPr>
          <w:rFonts w:ascii="Corbel" w:hAnsi="Corbel" w:cs="Arial"/>
          <w:sz w:val="22"/>
          <w:szCs w:val="22"/>
          <w:lang w:val="en-GB"/>
        </w:rPr>
        <w:t xml:space="preserve"> removal of tariffs.</w:t>
      </w:r>
      <w:r w:rsidR="00597719">
        <w:rPr>
          <w:rFonts w:ascii="Corbel" w:hAnsi="Corbel" w:cs="Arial"/>
          <w:sz w:val="22"/>
          <w:szCs w:val="22"/>
          <w:lang w:val="en-GB"/>
        </w:rPr>
        <w:t xml:space="preserve"> </w:t>
      </w:r>
    </w:p>
    <w:p w14:paraId="11D526B9" w14:textId="77777777" w:rsidR="00605158" w:rsidRDefault="00605158" w:rsidP="001D6E53">
      <w:pPr>
        <w:pStyle w:val="ListParagraph"/>
        <w:tabs>
          <w:tab w:val="left" w:pos="360"/>
        </w:tabs>
        <w:spacing w:line="276" w:lineRule="auto"/>
        <w:ind w:left="0"/>
        <w:contextualSpacing w:val="0"/>
        <w:jc w:val="both"/>
        <w:rPr>
          <w:rFonts w:ascii="Corbel" w:hAnsi="Corbel" w:cs="Arial"/>
          <w:sz w:val="22"/>
          <w:szCs w:val="22"/>
          <w:lang w:val="en-US"/>
        </w:rPr>
      </w:pPr>
    </w:p>
    <w:p w14:paraId="06CB702C" w14:textId="0046D6C6" w:rsidR="00EF3E4D" w:rsidRPr="008039A5" w:rsidRDefault="0091333F" w:rsidP="4F6DD0A6">
      <w:pPr>
        <w:pStyle w:val="ListParagraph"/>
        <w:tabs>
          <w:tab w:val="left" w:pos="360"/>
        </w:tabs>
        <w:spacing w:line="276" w:lineRule="auto"/>
        <w:ind w:left="0"/>
        <w:jc w:val="both"/>
        <w:rPr>
          <w:rFonts w:ascii="Corbel" w:hAnsi="Corbel" w:cs="Arial"/>
          <w:sz w:val="22"/>
          <w:szCs w:val="22"/>
          <w:lang w:val="en-GB"/>
        </w:rPr>
      </w:pPr>
      <w:r>
        <w:rPr>
          <w:rFonts w:ascii="Corbel" w:hAnsi="Corbel" w:cs="Arial"/>
          <w:sz w:val="22"/>
          <w:szCs w:val="22"/>
          <w:lang w:val="en-US"/>
        </w:rPr>
        <w:t>At the global level, t</w:t>
      </w:r>
      <w:r w:rsidR="00F921B2">
        <w:rPr>
          <w:rFonts w:ascii="Corbel" w:hAnsi="Corbel" w:cs="Arial"/>
          <w:sz w:val="22"/>
          <w:szCs w:val="22"/>
          <w:lang w:val="en-US"/>
        </w:rPr>
        <w:t xml:space="preserve">he COVID-19 pandemic determined </w:t>
      </w:r>
      <w:r w:rsidR="006239B6">
        <w:rPr>
          <w:rFonts w:ascii="Corbel" w:hAnsi="Corbel" w:cs="Arial"/>
          <w:sz w:val="22"/>
          <w:szCs w:val="22"/>
          <w:lang w:val="en-US"/>
        </w:rPr>
        <w:t>GDP contraction in 2020, and uncertain recovery thereafter,</w:t>
      </w:r>
      <w:r w:rsidR="006239B6" w:rsidRPr="008039A5">
        <w:rPr>
          <w:rStyle w:val="FootnoteReference"/>
          <w:rFonts w:ascii="Corbel" w:hAnsi="Corbel" w:cs="Arial"/>
          <w:sz w:val="22"/>
          <w:szCs w:val="22"/>
          <w:lang w:val="en-US"/>
        </w:rPr>
        <w:footnoteReference w:id="6"/>
      </w:r>
      <w:r w:rsidR="006239B6" w:rsidRPr="008039A5">
        <w:rPr>
          <w:rFonts w:ascii="Corbel" w:hAnsi="Corbel" w:cs="Arial"/>
          <w:sz w:val="22"/>
          <w:szCs w:val="22"/>
          <w:lang w:val="en-US"/>
        </w:rPr>
        <w:t xml:space="preserve"> as well as</w:t>
      </w:r>
      <w:r w:rsidR="006239B6">
        <w:rPr>
          <w:rFonts w:ascii="Corbel" w:hAnsi="Corbel" w:cs="Arial"/>
          <w:sz w:val="22"/>
          <w:szCs w:val="22"/>
          <w:lang w:val="en-US"/>
        </w:rPr>
        <w:t xml:space="preserve"> a 7.5 drop in trades in good in 2020, which rebounded in 2021</w:t>
      </w:r>
      <w:r w:rsidR="006239B6" w:rsidRPr="008039A5">
        <w:rPr>
          <w:rFonts w:ascii="Corbel" w:hAnsi="Corbel" w:cs="Arial"/>
          <w:sz w:val="22"/>
          <w:szCs w:val="22"/>
          <w:lang w:val="en-US"/>
        </w:rPr>
        <w:t>.</w:t>
      </w:r>
      <w:r w:rsidR="006239B6" w:rsidRPr="008039A5">
        <w:rPr>
          <w:rStyle w:val="FootnoteReference"/>
          <w:rFonts w:ascii="Corbel" w:hAnsi="Corbel" w:cs="Arial"/>
          <w:sz w:val="22"/>
          <w:szCs w:val="22"/>
          <w:lang w:val="en-US"/>
        </w:rPr>
        <w:footnoteReference w:id="7"/>
      </w:r>
      <w:r w:rsidR="006239B6" w:rsidRPr="008039A5">
        <w:rPr>
          <w:rFonts w:ascii="Corbel" w:hAnsi="Corbel" w:cs="Arial"/>
          <w:sz w:val="22"/>
          <w:szCs w:val="22"/>
          <w:lang w:val="en-US"/>
        </w:rPr>
        <w:t xml:space="preserve"> </w:t>
      </w:r>
      <w:r w:rsidR="006239B6">
        <w:rPr>
          <w:rFonts w:ascii="Corbel" w:hAnsi="Corbel" w:cs="Arial"/>
          <w:sz w:val="22"/>
          <w:szCs w:val="22"/>
          <w:lang w:val="en-US"/>
        </w:rPr>
        <w:t>T</w:t>
      </w:r>
      <w:r w:rsidR="006239B6" w:rsidRPr="008039A5">
        <w:rPr>
          <w:rFonts w:ascii="Corbel" w:hAnsi="Corbel" w:cs="Arial"/>
          <w:sz w:val="22"/>
          <w:szCs w:val="22"/>
          <w:lang w:val="en-US"/>
        </w:rPr>
        <w:t>he WTO</w:t>
      </w:r>
      <w:r w:rsidR="006239B6">
        <w:rPr>
          <w:rFonts w:ascii="Corbel" w:hAnsi="Corbel" w:cs="Arial"/>
          <w:sz w:val="22"/>
          <w:szCs w:val="22"/>
          <w:lang w:val="en-US"/>
        </w:rPr>
        <w:t xml:space="preserve"> </w:t>
      </w:r>
      <w:r w:rsidR="006239B6" w:rsidRPr="008039A5">
        <w:rPr>
          <w:rFonts w:ascii="Corbel" w:hAnsi="Corbel" w:cs="Arial"/>
          <w:sz w:val="22"/>
          <w:szCs w:val="22"/>
          <w:lang w:val="en-US"/>
        </w:rPr>
        <w:t>observed large drop</w:t>
      </w:r>
      <w:r w:rsidR="006239B6">
        <w:rPr>
          <w:rFonts w:ascii="Corbel" w:hAnsi="Corbel" w:cs="Arial"/>
          <w:sz w:val="22"/>
          <w:szCs w:val="22"/>
          <w:lang w:val="en-US"/>
        </w:rPr>
        <w:t>s</w:t>
      </w:r>
      <w:r w:rsidR="006239B6" w:rsidRPr="008039A5">
        <w:rPr>
          <w:rFonts w:ascii="Corbel" w:hAnsi="Corbel" w:cs="Arial"/>
          <w:sz w:val="22"/>
          <w:szCs w:val="22"/>
          <w:lang w:val="en-US"/>
        </w:rPr>
        <w:t xml:space="preserve"> in travel </w:t>
      </w:r>
      <w:r w:rsidR="006239B6">
        <w:rPr>
          <w:rFonts w:ascii="Corbel" w:hAnsi="Corbel" w:cs="Arial"/>
          <w:sz w:val="22"/>
          <w:szCs w:val="22"/>
          <w:lang w:val="en-US"/>
        </w:rPr>
        <w:t xml:space="preserve">services </w:t>
      </w:r>
      <w:r w:rsidR="006239B6" w:rsidRPr="008039A5">
        <w:rPr>
          <w:rFonts w:ascii="Corbel" w:hAnsi="Corbel" w:cs="Arial"/>
          <w:sz w:val="22"/>
          <w:szCs w:val="22"/>
          <w:lang w:val="en-US"/>
        </w:rPr>
        <w:t>and increase</w:t>
      </w:r>
      <w:r w:rsidR="006239B6">
        <w:rPr>
          <w:rFonts w:ascii="Corbel" w:hAnsi="Corbel" w:cs="Arial"/>
          <w:sz w:val="22"/>
          <w:szCs w:val="22"/>
          <w:lang w:val="en-US"/>
        </w:rPr>
        <w:t>s</w:t>
      </w:r>
      <w:r w:rsidR="006239B6" w:rsidRPr="008039A5">
        <w:rPr>
          <w:rFonts w:ascii="Corbel" w:hAnsi="Corbel" w:cs="Arial"/>
          <w:sz w:val="22"/>
          <w:szCs w:val="22"/>
          <w:lang w:val="en-US"/>
        </w:rPr>
        <w:t xml:space="preserve"> in financial services</w:t>
      </w:r>
      <w:r w:rsidR="006239B6">
        <w:rPr>
          <w:rFonts w:ascii="Corbel" w:hAnsi="Corbel" w:cs="Arial"/>
          <w:sz w:val="22"/>
          <w:szCs w:val="22"/>
          <w:lang w:val="en-US"/>
        </w:rPr>
        <w:t xml:space="preserve"> and</w:t>
      </w:r>
      <w:r w:rsidR="006239B6" w:rsidRPr="008039A5">
        <w:rPr>
          <w:rFonts w:ascii="Corbel" w:hAnsi="Corbel" w:cs="Arial"/>
          <w:sz w:val="22"/>
          <w:szCs w:val="22"/>
          <w:lang w:val="en-US"/>
        </w:rPr>
        <w:t xml:space="preserve"> computer </w:t>
      </w:r>
      <w:r w:rsidR="006239B6">
        <w:rPr>
          <w:rFonts w:ascii="Corbel" w:hAnsi="Corbel" w:cs="Arial"/>
          <w:sz w:val="22"/>
          <w:szCs w:val="22"/>
          <w:lang w:val="en-US"/>
        </w:rPr>
        <w:t xml:space="preserve">trade </w:t>
      </w:r>
      <w:r w:rsidR="006239B6" w:rsidRPr="008039A5">
        <w:rPr>
          <w:rFonts w:ascii="Corbel" w:hAnsi="Corbel" w:cs="Arial"/>
          <w:sz w:val="22"/>
          <w:szCs w:val="22"/>
          <w:lang w:val="en-US"/>
        </w:rPr>
        <w:t xml:space="preserve">services </w:t>
      </w:r>
      <w:r w:rsidR="006239B6">
        <w:rPr>
          <w:rFonts w:ascii="Corbel" w:hAnsi="Corbel" w:cs="Arial"/>
          <w:sz w:val="22"/>
          <w:szCs w:val="22"/>
          <w:lang w:val="en-US"/>
        </w:rPr>
        <w:t xml:space="preserve">in </w:t>
      </w:r>
      <w:r w:rsidR="006239B6" w:rsidRPr="008039A5">
        <w:rPr>
          <w:rFonts w:ascii="Corbel" w:hAnsi="Corbel" w:cs="Arial"/>
          <w:sz w:val="22"/>
          <w:szCs w:val="22"/>
          <w:lang w:val="en-US"/>
        </w:rPr>
        <w:t>2020 compared to 2019</w:t>
      </w:r>
      <w:r w:rsidR="006239B6">
        <w:rPr>
          <w:rFonts w:ascii="Corbel" w:hAnsi="Corbel" w:cs="Arial"/>
          <w:sz w:val="22"/>
          <w:szCs w:val="22"/>
          <w:lang w:val="en-US"/>
        </w:rPr>
        <w:t>.</w:t>
      </w:r>
      <w:r w:rsidR="006239B6" w:rsidRPr="008039A5">
        <w:rPr>
          <w:rStyle w:val="FootnoteReference"/>
          <w:rFonts w:ascii="Corbel" w:hAnsi="Corbel" w:cs="Arial"/>
          <w:sz w:val="22"/>
          <w:szCs w:val="22"/>
          <w:lang w:val="en-US"/>
        </w:rPr>
        <w:footnoteReference w:id="8"/>
      </w:r>
      <w:r w:rsidR="006239B6" w:rsidRPr="0030413C">
        <w:rPr>
          <w:rFonts w:ascii="Corbel" w:hAnsi="Corbel" w:cs="Arial"/>
          <w:sz w:val="22"/>
          <w:szCs w:val="22"/>
          <w:lang w:val="en-US"/>
        </w:rPr>
        <w:t xml:space="preserve"> </w:t>
      </w:r>
      <w:r w:rsidR="006239B6">
        <w:rPr>
          <w:rFonts w:ascii="Corbel" w:hAnsi="Corbel" w:cs="Arial"/>
          <w:sz w:val="22"/>
          <w:szCs w:val="22"/>
          <w:lang w:val="en-US"/>
        </w:rPr>
        <w:t>For</w:t>
      </w:r>
      <w:r w:rsidR="006239B6" w:rsidRPr="008039A5">
        <w:rPr>
          <w:rFonts w:ascii="Corbel" w:hAnsi="Corbel" w:cs="Arial"/>
          <w:sz w:val="22"/>
          <w:szCs w:val="22"/>
          <w:lang w:val="en-US"/>
        </w:rPr>
        <w:t xml:space="preserve"> the Arab economies</w:t>
      </w:r>
      <w:r w:rsidR="006239B6">
        <w:rPr>
          <w:rFonts w:ascii="Corbel" w:hAnsi="Corbel" w:cs="Arial"/>
          <w:sz w:val="22"/>
          <w:szCs w:val="22"/>
          <w:lang w:val="en-US"/>
        </w:rPr>
        <w:t xml:space="preserve">, this translated into </w:t>
      </w:r>
      <w:r w:rsidR="006239B6" w:rsidRPr="008039A5">
        <w:rPr>
          <w:rFonts w:ascii="Corbel" w:hAnsi="Corbel" w:cs="Arial"/>
          <w:sz w:val="22"/>
          <w:szCs w:val="22"/>
          <w:lang w:val="en-US"/>
        </w:rPr>
        <w:t xml:space="preserve">a </w:t>
      </w:r>
      <w:r w:rsidR="006239B6">
        <w:rPr>
          <w:rFonts w:ascii="Corbel" w:hAnsi="Corbel" w:cs="Arial"/>
          <w:sz w:val="22"/>
          <w:szCs w:val="22"/>
          <w:lang w:val="en-US"/>
        </w:rPr>
        <w:t xml:space="preserve">trade </w:t>
      </w:r>
      <w:r w:rsidR="006239B6" w:rsidRPr="008039A5">
        <w:rPr>
          <w:rFonts w:ascii="Corbel" w:hAnsi="Corbel" w:cs="Arial"/>
          <w:sz w:val="22"/>
          <w:szCs w:val="22"/>
          <w:lang w:val="en-US"/>
        </w:rPr>
        <w:t xml:space="preserve">drop of 22 percent (in value) and of 9.7 percent (in volume) </w:t>
      </w:r>
      <w:r w:rsidR="006239B6">
        <w:rPr>
          <w:rFonts w:ascii="Corbel" w:hAnsi="Corbel" w:cs="Arial"/>
          <w:sz w:val="22"/>
          <w:szCs w:val="22"/>
          <w:lang w:val="en-US"/>
        </w:rPr>
        <w:t>in 2020</w:t>
      </w:r>
      <w:r w:rsidR="006239B6" w:rsidRPr="008039A5">
        <w:rPr>
          <w:rFonts w:ascii="Corbel" w:hAnsi="Corbel" w:cs="Arial"/>
          <w:sz w:val="22"/>
          <w:szCs w:val="22"/>
          <w:lang w:val="en-US"/>
        </w:rPr>
        <w:t>.</w:t>
      </w:r>
      <w:r w:rsidR="006239B6" w:rsidRPr="008039A5">
        <w:rPr>
          <w:rStyle w:val="FootnoteReference"/>
          <w:rFonts w:ascii="Corbel" w:hAnsi="Corbel" w:cs="Arial"/>
          <w:sz w:val="22"/>
          <w:szCs w:val="22"/>
          <w:lang w:val="en-US"/>
        </w:rPr>
        <w:footnoteReference w:id="9"/>
      </w:r>
    </w:p>
    <w:p w14:paraId="014B6B71" w14:textId="77777777" w:rsidR="005A26C2" w:rsidRDefault="005A26C2" w:rsidP="001D6E53">
      <w:pPr>
        <w:pStyle w:val="ListParagraph"/>
        <w:tabs>
          <w:tab w:val="left" w:pos="360"/>
        </w:tabs>
        <w:spacing w:line="276" w:lineRule="auto"/>
        <w:ind w:left="0"/>
        <w:contextualSpacing w:val="0"/>
        <w:jc w:val="both"/>
        <w:rPr>
          <w:rFonts w:ascii="Corbel" w:hAnsi="Corbel" w:cs="Arial"/>
          <w:sz w:val="22"/>
          <w:szCs w:val="22"/>
          <w:lang w:val="en-GB"/>
        </w:rPr>
      </w:pPr>
    </w:p>
    <w:p w14:paraId="2E82F061" w14:textId="560030A3" w:rsidR="008039A5" w:rsidRDefault="005A26C2" w:rsidP="001D6E53">
      <w:pPr>
        <w:pStyle w:val="ListParagraph"/>
        <w:tabs>
          <w:tab w:val="left" w:pos="360"/>
        </w:tabs>
        <w:spacing w:line="276" w:lineRule="auto"/>
        <w:ind w:left="0"/>
        <w:contextualSpacing w:val="0"/>
        <w:jc w:val="both"/>
        <w:rPr>
          <w:rFonts w:ascii="Corbel" w:hAnsi="Corbel" w:cs="Arial"/>
          <w:sz w:val="22"/>
          <w:szCs w:val="22"/>
          <w:lang w:val="en-US"/>
        </w:rPr>
      </w:pPr>
      <w:r>
        <w:rPr>
          <w:rFonts w:ascii="Corbel" w:hAnsi="Corbel" w:cs="Arial"/>
          <w:sz w:val="22"/>
          <w:szCs w:val="22"/>
          <w:lang w:val="en-GB"/>
        </w:rPr>
        <w:t>Against this backdrop, t</w:t>
      </w:r>
      <w:r w:rsidR="002C7EC6" w:rsidRPr="008039A5">
        <w:rPr>
          <w:rFonts w:ascii="Corbel" w:hAnsi="Corbel" w:cs="Arial"/>
          <w:sz w:val="22"/>
          <w:szCs w:val="22"/>
          <w:lang w:val="en-GB"/>
        </w:rPr>
        <w:t xml:space="preserve">he regional project “Strengthening Arab Regional Economic Integration for Sustainable Development” </w:t>
      </w:r>
      <w:r w:rsidR="002A1BA3">
        <w:rPr>
          <w:rFonts w:ascii="Corbel" w:hAnsi="Corbel" w:cs="Arial"/>
          <w:sz w:val="22"/>
          <w:szCs w:val="22"/>
          <w:lang w:val="en-GB"/>
        </w:rPr>
        <w:t>was designed</w:t>
      </w:r>
      <w:r w:rsidR="002A1BA3" w:rsidRPr="008039A5">
        <w:rPr>
          <w:rFonts w:ascii="Corbel" w:hAnsi="Corbel" w:cs="Arial"/>
          <w:sz w:val="22"/>
          <w:szCs w:val="22"/>
          <w:lang w:val="en-GB"/>
        </w:rPr>
        <w:t xml:space="preserve"> </w:t>
      </w:r>
      <w:r w:rsidR="005F1F91" w:rsidRPr="008039A5">
        <w:rPr>
          <w:rFonts w:ascii="Corbel" w:hAnsi="Corbel" w:cs="Arial"/>
          <w:sz w:val="22"/>
          <w:szCs w:val="22"/>
          <w:lang w:val="en-GB"/>
        </w:rPr>
        <w:t xml:space="preserve">to </w:t>
      </w:r>
      <w:r w:rsidR="002A1BA3">
        <w:rPr>
          <w:rFonts w:ascii="Corbel" w:hAnsi="Corbel" w:cs="Arial"/>
          <w:sz w:val="22"/>
          <w:szCs w:val="22"/>
          <w:lang w:val="en-GB"/>
        </w:rPr>
        <w:t>enhance</w:t>
      </w:r>
      <w:r w:rsidR="005F1F91" w:rsidRPr="008039A5">
        <w:rPr>
          <w:rFonts w:ascii="Corbel" w:hAnsi="Corbel" w:cs="Arial"/>
          <w:sz w:val="22"/>
          <w:szCs w:val="22"/>
          <w:lang w:val="en-GB"/>
        </w:rPr>
        <w:t xml:space="preserve"> economic integration</w:t>
      </w:r>
      <w:r w:rsidR="002A1BA3">
        <w:rPr>
          <w:rFonts w:ascii="Corbel" w:hAnsi="Corbel" w:cs="Arial"/>
          <w:sz w:val="22"/>
          <w:szCs w:val="22"/>
          <w:lang w:val="en-GB"/>
        </w:rPr>
        <w:t xml:space="preserve"> among</w:t>
      </w:r>
      <w:r w:rsidR="005D22A3" w:rsidRPr="008039A5">
        <w:rPr>
          <w:rFonts w:ascii="Corbel" w:hAnsi="Corbel" w:cs="Arial"/>
          <w:sz w:val="22"/>
          <w:szCs w:val="22"/>
          <w:lang w:val="en-GB"/>
        </w:rPr>
        <w:t xml:space="preserve"> </w:t>
      </w:r>
      <w:r w:rsidR="002A1BA3" w:rsidRPr="008039A5">
        <w:rPr>
          <w:rFonts w:ascii="Corbel" w:hAnsi="Corbel" w:cs="Arial"/>
          <w:sz w:val="22"/>
          <w:szCs w:val="22"/>
          <w:lang w:val="en-GB"/>
        </w:rPr>
        <w:t>Arab</w:t>
      </w:r>
      <w:r w:rsidR="002A1BA3">
        <w:rPr>
          <w:rFonts w:ascii="Corbel" w:hAnsi="Corbel" w:cs="Arial"/>
          <w:sz w:val="22"/>
          <w:szCs w:val="22"/>
          <w:lang w:val="en-GB"/>
        </w:rPr>
        <w:t xml:space="preserve"> countries</w:t>
      </w:r>
      <w:r w:rsidR="002A1BA3" w:rsidRPr="008039A5">
        <w:rPr>
          <w:rFonts w:ascii="Corbel" w:hAnsi="Corbel" w:cs="Arial"/>
          <w:sz w:val="22"/>
          <w:szCs w:val="22"/>
          <w:lang w:val="en-GB"/>
        </w:rPr>
        <w:t xml:space="preserve"> </w:t>
      </w:r>
      <w:r w:rsidR="005D22A3" w:rsidRPr="008039A5">
        <w:rPr>
          <w:rFonts w:ascii="Corbel" w:hAnsi="Corbel" w:cs="Arial"/>
          <w:sz w:val="22"/>
          <w:szCs w:val="22"/>
          <w:lang w:val="en-GB"/>
        </w:rPr>
        <w:t>toward</w:t>
      </w:r>
      <w:r w:rsidR="00150ED1">
        <w:rPr>
          <w:rFonts w:ascii="Corbel" w:hAnsi="Corbel" w:cs="Arial"/>
          <w:sz w:val="22"/>
          <w:szCs w:val="22"/>
          <w:lang w:val="en-GB"/>
        </w:rPr>
        <w:t>s</w:t>
      </w:r>
      <w:r w:rsidR="005D22A3" w:rsidRPr="008039A5">
        <w:rPr>
          <w:rFonts w:ascii="Corbel" w:hAnsi="Corbel" w:cs="Arial"/>
          <w:sz w:val="22"/>
          <w:szCs w:val="22"/>
          <w:lang w:val="en-GB"/>
        </w:rPr>
        <w:t xml:space="preserve"> the establishment of </w:t>
      </w:r>
      <w:r w:rsidR="002A1BA3">
        <w:rPr>
          <w:rFonts w:ascii="Corbel" w:hAnsi="Corbel" w:cs="Arial"/>
          <w:sz w:val="22"/>
          <w:szCs w:val="22"/>
          <w:lang w:val="en-GB"/>
        </w:rPr>
        <w:t>an</w:t>
      </w:r>
      <w:r w:rsidR="005D22A3" w:rsidRPr="008039A5">
        <w:rPr>
          <w:rFonts w:ascii="Corbel" w:hAnsi="Corbel" w:cs="Arial"/>
          <w:sz w:val="22"/>
          <w:szCs w:val="22"/>
          <w:lang w:val="en-GB"/>
        </w:rPr>
        <w:t xml:space="preserve"> Arab Customs Union and </w:t>
      </w:r>
      <w:r w:rsidR="002A1BA3">
        <w:rPr>
          <w:rFonts w:ascii="Corbel" w:hAnsi="Corbel" w:cs="Arial"/>
          <w:sz w:val="22"/>
          <w:szCs w:val="22"/>
          <w:lang w:val="en-GB"/>
        </w:rPr>
        <w:t xml:space="preserve">a </w:t>
      </w:r>
      <w:r w:rsidR="00150ED1">
        <w:rPr>
          <w:rFonts w:ascii="Corbel" w:hAnsi="Corbel" w:cs="Arial"/>
          <w:sz w:val="22"/>
          <w:szCs w:val="22"/>
          <w:lang w:val="en-GB"/>
        </w:rPr>
        <w:t>c</w:t>
      </w:r>
      <w:r w:rsidR="005D22A3" w:rsidRPr="008039A5">
        <w:rPr>
          <w:rFonts w:ascii="Corbel" w:hAnsi="Corbel" w:cs="Arial"/>
          <w:sz w:val="22"/>
          <w:szCs w:val="22"/>
          <w:lang w:val="en-GB"/>
        </w:rPr>
        <w:t>ommon market.</w:t>
      </w:r>
      <w:r w:rsidR="0078703D" w:rsidRPr="008039A5">
        <w:rPr>
          <w:rFonts w:ascii="Corbel" w:hAnsi="Corbel" w:cs="Arial"/>
          <w:sz w:val="22"/>
          <w:szCs w:val="22"/>
          <w:lang w:val="vi-VN"/>
        </w:rPr>
        <w:t xml:space="preserve"> </w:t>
      </w:r>
      <w:r w:rsidR="007E64B8">
        <w:rPr>
          <w:rFonts w:ascii="Corbel" w:hAnsi="Corbel" w:cs="Arial"/>
          <w:sz w:val="22"/>
          <w:szCs w:val="22"/>
          <w:lang w:val="en-US"/>
        </w:rPr>
        <w:t>The p</w:t>
      </w:r>
      <w:r w:rsidR="0078703D" w:rsidRPr="008039A5">
        <w:rPr>
          <w:rFonts w:ascii="Corbel" w:hAnsi="Corbel" w:cs="Arial"/>
          <w:sz w:val="22"/>
          <w:szCs w:val="22"/>
          <w:lang w:val="vi-VN"/>
        </w:rPr>
        <w:t>roject assist</w:t>
      </w:r>
      <w:r w:rsidR="002A1BA3">
        <w:rPr>
          <w:rFonts w:ascii="Corbel" w:hAnsi="Corbel" w:cs="Arial"/>
          <w:sz w:val="22"/>
          <w:szCs w:val="22"/>
          <w:lang w:val="en-US"/>
        </w:rPr>
        <w:t>ed</w:t>
      </w:r>
      <w:r w:rsidR="00F318F5">
        <w:rPr>
          <w:rFonts w:ascii="Corbel" w:hAnsi="Corbel" w:cs="Arial"/>
          <w:sz w:val="22"/>
          <w:szCs w:val="22"/>
          <w:lang w:val="en-US"/>
        </w:rPr>
        <w:t>: a)</w:t>
      </w:r>
      <w:r w:rsidR="0078703D" w:rsidRPr="008039A5">
        <w:rPr>
          <w:rFonts w:ascii="Corbel" w:hAnsi="Corbel" w:cs="Arial"/>
          <w:sz w:val="22"/>
          <w:szCs w:val="22"/>
          <w:lang w:val="vi-VN"/>
        </w:rPr>
        <w:t xml:space="preserve"> </w:t>
      </w:r>
      <w:r w:rsidR="00EB4F50">
        <w:rPr>
          <w:rFonts w:ascii="Corbel" w:hAnsi="Corbel" w:cs="Arial"/>
          <w:sz w:val="22"/>
          <w:szCs w:val="22"/>
          <w:lang w:val="en-US"/>
        </w:rPr>
        <w:t>the LAS</w:t>
      </w:r>
      <w:r w:rsidR="00EB4F50" w:rsidRPr="008039A5">
        <w:rPr>
          <w:rFonts w:ascii="Corbel" w:hAnsi="Corbel" w:cs="Arial"/>
          <w:sz w:val="22"/>
          <w:szCs w:val="22"/>
          <w:lang w:val="en-US"/>
        </w:rPr>
        <w:t xml:space="preserve"> Economic Sector/Arab Economic Integration Department</w:t>
      </w:r>
      <w:r w:rsidR="00EB4F50" w:rsidRPr="008039A5">
        <w:rPr>
          <w:rFonts w:ascii="Corbel" w:hAnsi="Corbel" w:cs="Arial"/>
          <w:sz w:val="22"/>
          <w:szCs w:val="22"/>
          <w:lang w:val="vi-VN"/>
        </w:rPr>
        <w:t xml:space="preserve"> </w:t>
      </w:r>
      <w:r w:rsidR="004D5270">
        <w:rPr>
          <w:rFonts w:ascii="Corbel" w:hAnsi="Corbel" w:cs="Arial"/>
          <w:sz w:val="22"/>
          <w:szCs w:val="22"/>
          <w:lang w:val="en-US"/>
        </w:rPr>
        <w:t xml:space="preserve">to upgrade </w:t>
      </w:r>
      <w:r w:rsidR="004E3671">
        <w:rPr>
          <w:rFonts w:ascii="Corbel" w:hAnsi="Corbel" w:cs="Arial"/>
          <w:sz w:val="22"/>
          <w:szCs w:val="22"/>
          <w:lang w:val="en-US"/>
        </w:rPr>
        <w:t>and</w:t>
      </w:r>
      <w:r w:rsidR="004D5270">
        <w:rPr>
          <w:rFonts w:ascii="Corbel" w:hAnsi="Corbel" w:cs="Arial"/>
          <w:sz w:val="22"/>
          <w:szCs w:val="22"/>
          <w:lang w:val="en-US"/>
        </w:rPr>
        <w:t xml:space="preserve"> promote the implementation of </w:t>
      </w:r>
      <w:r w:rsidR="00D87922">
        <w:rPr>
          <w:rFonts w:ascii="Corbel" w:hAnsi="Corbel" w:cs="Arial"/>
          <w:sz w:val="22"/>
          <w:szCs w:val="22"/>
          <w:lang w:val="en-US"/>
        </w:rPr>
        <w:t>PAFTA-</w:t>
      </w:r>
      <w:r w:rsidR="00B50AFB">
        <w:rPr>
          <w:rFonts w:ascii="Corbel" w:hAnsi="Corbel" w:cs="Arial"/>
          <w:sz w:val="22"/>
          <w:szCs w:val="22"/>
          <w:lang w:val="en-US"/>
        </w:rPr>
        <w:t>as per</w:t>
      </w:r>
      <w:r w:rsidR="00D87922" w:rsidRPr="008039A5">
        <w:rPr>
          <w:rFonts w:ascii="Corbel" w:hAnsi="Corbel" w:cs="Arial"/>
          <w:sz w:val="22"/>
          <w:szCs w:val="22"/>
          <w:lang w:val="en-GB"/>
        </w:rPr>
        <w:t xml:space="preserve"> the </w:t>
      </w:r>
      <w:r w:rsidR="004E3671" w:rsidRPr="008039A5">
        <w:rPr>
          <w:rFonts w:ascii="Corbel" w:hAnsi="Corbel" w:cs="Arial"/>
          <w:sz w:val="22"/>
          <w:szCs w:val="22"/>
          <w:lang w:val="en-GB"/>
        </w:rPr>
        <w:t>Socio-Economic</w:t>
      </w:r>
      <w:r w:rsidR="00D87922" w:rsidRPr="008039A5">
        <w:rPr>
          <w:rFonts w:ascii="Corbel" w:hAnsi="Corbel" w:cs="Arial"/>
          <w:sz w:val="22"/>
          <w:szCs w:val="22"/>
          <w:lang w:val="en-GB"/>
        </w:rPr>
        <w:t xml:space="preserve"> Affairs Council (ECOSOC)</w:t>
      </w:r>
      <w:r w:rsidR="00B50AFB">
        <w:rPr>
          <w:rFonts w:ascii="Corbel" w:hAnsi="Corbel" w:cs="Arial"/>
          <w:sz w:val="22"/>
          <w:szCs w:val="22"/>
          <w:lang w:val="en-GB"/>
        </w:rPr>
        <w:t xml:space="preserve"> decisions;</w:t>
      </w:r>
      <w:r w:rsidR="00F318F5">
        <w:rPr>
          <w:rFonts w:ascii="Corbel" w:hAnsi="Corbel" w:cs="Arial"/>
          <w:sz w:val="22"/>
          <w:szCs w:val="22"/>
          <w:lang w:val="en-GB"/>
        </w:rPr>
        <w:t xml:space="preserve"> and b) select </w:t>
      </w:r>
      <w:r w:rsidR="0078703D" w:rsidRPr="008039A5">
        <w:rPr>
          <w:rFonts w:ascii="Corbel" w:hAnsi="Corbel" w:cs="Arial"/>
          <w:sz w:val="22"/>
          <w:szCs w:val="22"/>
          <w:lang w:val="vi-VN"/>
        </w:rPr>
        <w:t xml:space="preserve">Arab countries </w:t>
      </w:r>
      <w:r w:rsidR="00F318F5">
        <w:rPr>
          <w:rFonts w:ascii="Corbel" w:hAnsi="Corbel" w:cs="Arial"/>
          <w:sz w:val="22"/>
          <w:szCs w:val="22"/>
          <w:lang w:val="en-US"/>
        </w:rPr>
        <w:t>(</w:t>
      </w:r>
      <w:r w:rsidR="00305162" w:rsidRPr="00305162">
        <w:rPr>
          <w:rFonts w:ascii="Corbel" w:hAnsi="Corbel" w:cs="Arial"/>
          <w:sz w:val="22"/>
          <w:szCs w:val="22"/>
          <w:lang w:val="en-GB"/>
        </w:rPr>
        <w:t>Egypt, Iraq</w:t>
      </w:r>
      <w:r w:rsidR="00305162">
        <w:rPr>
          <w:rFonts w:ascii="Corbel" w:hAnsi="Corbel" w:cs="Arial"/>
          <w:sz w:val="22"/>
          <w:szCs w:val="22"/>
          <w:lang w:val="en-GB"/>
        </w:rPr>
        <w:t>,</w:t>
      </w:r>
      <w:r w:rsidR="00305162" w:rsidRPr="00305162">
        <w:rPr>
          <w:rFonts w:ascii="Corbel" w:hAnsi="Corbel" w:cs="Arial"/>
          <w:sz w:val="22"/>
          <w:szCs w:val="22"/>
          <w:lang w:val="en-GB"/>
        </w:rPr>
        <w:t xml:space="preserve"> Jordan, Lebanon, Morocco, </w:t>
      </w:r>
      <w:r w:rsidR="00F07F52">
        <w:rPr>
          <w:rFonts w:ascii="Corbel" w:hAnsi="Corbel" w:cs="Arial"/>
          <w:sz w:val="22"/>
          <w:szCs w:val="22"/>
          <w:lang w:val="en-GB"/>
        </w:rPr>
        <w:t xml:space="preserve">the State of </w:t>
      </w:r>
      <w:r w:rsidR="00F07F52" w:rsidRPr="00305162">
        <w:rPr>
          <w:rFonts w:ascii="Corbel" w:hAnsi="Corbel" w:cs="Arial"/>
          <w:sz w:val="22"/>
          <w:szCs w:val="22"/>
          <w:lang w:val="en-GB"/>
        </w:rPr>
        <w:t>Palestine</w:t>
      </w:r>
      <w:r w:rsidR="00305162" w:rsidRPr="00305162">
        <w:rPr>
          <w:rFonts w:ascii="Corbel" w:hAnsi="Corbel" w:cs="Arial"/>
          <w:sz w:val="22"/>
          <w:szCs w:val="22"/>
          <w:lang w:val="en-GB"/>
        </w:rPr>
        <w:t>, Sudan</w:t>
      </w:r>
      <w:r w:rsidR="00305162">
        <w:rPr>
          <w:rFonts w:ascii="Corbel" w:hAnsi="Corbel" w:cs="Arial"/>
          <w:sz w:val="22"/>
          <w:szCs w:val="22"/>
          <w:lang w:val="en-GB"/>
        </w:rPr>
        <w:t>,</w:t>
      </w:r>
      <w:r w:rsidR="00305162" w:rsidRPr="00305162">
        <w:rPr>
          <w:rFonts w:ascii="Corbel" w:hAnsi="Corbel" w:cs="Arial"/>
          <w:sz w:val="22"/>
          <w:szCs w:val="22"/>
          <w:lang w:val="en-GB"/>
        </w:rPr>
        <w:t xml:space="preserve"> and Tunisia</w:t>
      </w:r>
      <w:r w:rsidR="00F318F5">
        <w:rPr>
          <w:rFonts w:ascii="Corbel" w:hAnsi="Corbel" w:cs="Arial"/>
          <w:sz w:val="22"/>
          <w:szCs w:val="22"/>
          <w:lang w:val="en-US"/>
        </w:rPr>
        <w:t>)</w:t>
      </w:r>
      <w:r w:rsidR="00F318F5" w:rsidRPr="008039A5">
        <w:rPr>
          <w:rFonts w:ascii="Corbel" w:hAnsi="Corbel" w:cs="Arial"/>
          <w:sz w:val="22"/>
          <w:szCs w:val="22"/>
          <w:lang w:val="vi-VN"/>
        </w:rPr>
        <w:t xml:space="preserve"> </w:t>
      </w:r>
      <w:r w:rsidR="0078703D" w:rsidRPr="008039A5">
        <w:rPr>
          <w:rFonts w:ascii="Corbel" w:hAnsi="Corbel" w:cs="Arial"/>
          <w:sz w:val="22"/>
          <w:szCs w:val="22"/>
          <w:lang w:val="vi-VN"/>
        </w:rPr>
        <w:t xml:space="preserve">to upgrade </w:t>
      </w:r>
      <w:r w:rsidR="004E3671">
        <w:rPr>
          <w:rFonts w:ascii="Corbel" w:hAnsi="Corbel" w:cs="Arial"/>
          <w:sz w:val="22"/>
          <w:szCs w:val="22"/>
          <w:lang w:val="en-US"/>
        </w:rPr>
        <w:t>their</w:t>
      </w:r>
      <w:r w:rsidR="002A1BA3">
        <w:rPr>
          <w:rFonts w:ascii="Corbel" w:hAnsi="Corbel" w:cs="Arial"/>
          <w:sz w:val="22"/>
          <w:szCs w:val="22"/>
          <w:lang w:val="en-US"/>
        </w:rPr>
        <w:t xml:space="preserve"> trade</w:t>
      </w:r>
      <w:r w:rsidR="0078703D" w:rsidRPr="008039A5">
        <w:rPr>
          <w:rFonts w:ascii="Corbel" w:hAnsi="Corbel" w:cs="Arial"/>
          <w:sz w:val="22"/>
          <w:szCs w:val="22"/>
          <w:lang w:val="vi-VN"/>
        </w:rPr>
        <w:t xml:space="preserve"> legal framework</w:t>
      </w:r>
      <w:r w:rsidR="002A1BA3">
        <w:rPr>
          <w:rFonts w:ascii="Corbel" w:hAnsi="Corbel" w:cs="Arial"/>
          <w:sz w:val="22"/>
          <w:szCs w:val="22"/>
          <w:lang w:val="en-US"/>
        </w:rPr>
        <w:t>s and infrastructure</w:t>
      </w:r>
      <w:r w:rsidR="001D6E53" w:rsidRPr="008039A5">
        <w:rPr>
          <w:rFonts w:ascii="Corbel" w:hAnsi="Corbel" w:cs="Arial"/>
          <w:sz w:val="22"/>
          <w:szCs w:val="22"/>
          <w:lang w:val="en-US"/>
        </w:rPr>
        <w:t>.</w:t>
      </w:r>
      <w:r w:rsidR="0020153F" w:rsidRPr="008039A5">
        <w:rPr>
          <w:rFonts w:ascii="Corbel" w:hAnsi="Corbel" w:cs="Arial"/>
          <w:sz w:val="22"/>
          <w:szCs w:val="22"/>
          <w:lang w:val="en-US"/>
        </w:rPr>
        <w:t xml:space="preserve"> </w:t>
      </w:r>
    </w:p>
    <w:p w14:paraId="6750B78D" w14:textId="77777777" w:rsidR="00035F91" w:rsidRDefault="00035F91" w:rsidP="001D6E53">
      <w:pPr>
        <w:pStyle w:val="ListParagraph"/>
        <w:tabs>
          <w:tab w:val="left" w:pos="360"/>
        </w:tabs>
        <w:spacing w:line="276" w:lineRule="auto"/>
        <w:ind w:left="0"/>
        <w:contextualSpacing w:val="0"/>
        <w:jc w:val="both"/>
        <w:rPr>
          <w:rFonts w:ascii="Corbel" w:hAnsi="Corbel" w:cs="Arial"/>
          <w:sz w:val="22"/>
          <w:szCs w:val="22"/>
          <w:lang w:val="en-US"/>
        </w:rPr>
      </w:pPr>
    </w:p>
    <w:p w14:paraId="720D37DA" w14:textId="2CA9630B" w:rsidR="008F5CC9" w:rsidRPr="007873A4" w:rsidRDefault="00E34C1C" w:rsidP="4F6DD0A6">
      <w:pPr>
        <w:pStyle w:val="ListParagraph"/>
        <w:tabs>
          <w:tab w:val="left" w:pos="360"/>
        </w:tabs>
        <w:spacing w:line="276" w:lineRule="auto"/>
        <w:ind w:left="0"/>
        <w:jc w:val="both"/>
        <w:rPr>
          <w:rFonts w:ascii="Corbel" w:hAnsi="Corbel" w:cs="Arial"/>
          <w:sz w:val="22"/>
          <w:szCs w:val="22"/>
          <w:lang w:val="en-GB"/>
        </w:rPr>
      </w:pPr>
      <w:r w:rsidRPr="4F6DD0A6">
        <w:rPr>
          <w:rFonts w:ascii="Corbel" w:hAnsi="Corbel" w:cs="Arial"/>
          <w:sz w:val="22"/>
          <w:szCs w:val="22"/>
          <w:lang w:val="en-US"/>
        </w:rPr>
        <w:t xml:space="preserve">The project was </w:t>
      </w:r>
      <w:r w:rsidR="004E3671" w:rsidRPr="4F6DD0A6">
        <w:rPr>
          <w:rFonts w:ascii="Corbel" w:hAnsi="Corbel" w:cs="Arial"/>
          <w:sz w:val="22"/>
          <w:szCs w:val="22"/>
          <w:lang w:val="en-US"/>
        </w:rPr>
        <w:t>initially</w:t>
      </w:r>
      <w:r w:rsidRPr="4F6DD0A6">
        <w:rPr>
          <w:rFonts w:ascii="Corbel" w:hAnsi="Corbel" w:cs="Arial"/>
          <w:sz w:val="22"/>
          <w:szCs w:val="22"/>
          <w:lang w:val="en-US"/>
        </w:rPr>
        <w:t xml:space="preserve"> planned to last until </w:t>
      </w:r>
      <w:r w:rsidR="00B731BD" w:rsidRPr="4F6DD0A6">
        <w:rPr>
          <w:rFonts w:ascii="Corbel" w:hAnsi="Corbel" w:cs="Arial"/>
          <w:sz w:val="22"/>
          <w:szCs w:val="22"/>
          <w:lang w:val="en-US"/>
        </w:rPr>
        <w:t>31 December 2019 but</w:t>
      </w:r>
      <w:r w:rsidRPr="4F6DD0A6">
        <w:rPr>
          <w:rFonts w:ascii="Corbel" w:hAnsi="Corbel" w:cs="Arial"/>
          <w:sz w:val="22"/>
          <w:szCs w:val="22"/>
          <w:lang w:val="en-US"/>
        </w:rPr>
        <w:t xml:space="preserve"> </w:t>
      </w:r>
      <w:r w:rsidR="00AB5CAE">
        <w:rPr>
          <w:rFonts w:ascii="Corbel" w:hAnsi="Corbel" w:cs="Arial"/>
          <w:sz w:val="22"/>
          <w:szCs w:val="22"/>
          <w:lang w:val="en-US"/>
        </w:rPr>
        <w:t xml:space="preserve">was </w:t>
      </w:r>
      <w:r w:rsidRPr="4F6DD0A6">
        <w:rPr>
          <w:rFonts w:ascii="Corbel" w:hAnsi="Corbel" w:cs="Arial"/>
          <w:sz w:val="22"/>
          <w:szCs w:val="22"/>
          <w:lang w:val="en-US"/>
        </w:rPr>
        <w:t>granted two consecutive no-cost extensions until 31 March</w:t>
      </w:r>
      <w:r w:rsidR="00C4474D" w:rsidRPr="4F6DD0A6">
        <w:rPr>
          <w:rFonts w:ascii="Corbel" w:hAnsi="Corbel" w:cs="Arial"/>
          <w:sz w:val="22"/>
          <w:szCs w:val="22"/>
          <w:lang w:val="en-US"/>
        </w:rPr>
        <w:t xml:space="preserve"> 2022</w:t>
      </w:r>
      <w:r w:rsidRPr="4F6DD0A6">
        <w:rPr>
          <w:rFonts w:ascii="Corbel" w:hAnsi="Corbel" w:cs="Arial"/>
          <w:sz w:val="22"/>
          <w:szCs w:val="22"/>
          <w:lang w:val="en-US"/>
        </w:rPr>
        <w:t xml:space="preserve">. </w:t>
      </w:r>
      <w:r w:rsidR="004E6FA3" w:rsidRPr="4F6DD0A6">
        <w:rPr>
          <w:rFonts w:ascii="Corbel" w:hAnsi="Corbel" w:cs="Arial"/>
          <w:sz w:val="22"/>
          <w:szCs w:val="22"/>
          <w:lang w:val="en-US"/>
        </w:rPr>
        <w:t xml:space="preserve">At the beginning of 2020, </w:t>
      </w:r>
      <w:r w:rsidR="00A24504" w:rsidRPr="4F6DD0A6">
        <w:rPr>
          <w:rFonts w:ascii="Corbel" w:hAnsi="Corbel" w:cs="Arial"/>
          <w:sz w:val="22"/>
          <w:szCs w:val="22"/>
          <w:lang w:val="en-US"/>
        </w:rPr>
        <w:t xml:space="preserve">the project was required to readjust </w:t>
      </w:r>
      <w:r w:rsidR="004E6FA3" w:rsidRPr="4F6DD0A6">
        <w:rPr>
          <w:rFonts w:ascii="Corbel" w:hAnsi="Corbel" w:cs="Arial"/>
          <w:sz w:val="22"/>
          <w:szCs w:val="22"/>
          <w:lang w:val="en-US"/>
        </w:rPr>
        <w:t xml:space="preserve">its </w:t>
      </w:r>
      <w:r w:rsidR="00A24504" w:rsidRPr="4F6DD0A6">
        <w:rPr>
          <w:rFonts w:ascii="Corbel" w:hAnsi="Corbel" w:cs="Arial"/>
          <w:sz w:val="22"/>
          <w:szCs w:val="22"/>
          <w:lang w:val="en-US"/>
        </w:rPr>
        <w:t>work plan an</w:t>
      </w:r>
      <w:r w:rsidR="00816A95" w:rsidRPr="4F6DD0A6">
        <w:rPr>
          <w:rFonts w:ascii="Corbel" w:hAnsi="Corbel" w:cs="Arial"/>
          <w:sz w:val="22"/>
          <w:szCs w:val="22"/>
          <w:lang w:val="en-US"/>
        </w:rPr>
        <w:t xml:space="preserve">d </w:t>
      </w:r>
      <w:r w:rsidR="00816A95" w:rsidRPr="4F6DD0A6">
        <w:rPr>
          <w:rFonts w:ascii="Corbel" w:hAnsi="Corbel" w:cs="Arial"/>
          <w:sz w:val="22"/>
          <w:szCs w:val="22"/>
          <w:lang w:val="en-US"/>
        </w:rPr>
        <w:lastRenderedPageBreak/>
        <w:t xml:space="preserve">redesign activities in response to </w:t>
      </w:r>
      <w:r w:rsidR="006F49B7" w:rsidRPr="4F6DD0A6">
        <w:rPr>
          <w:rFonts w:ascii="Corbel" w:hAnsi="Corbel" w:cs="Arial"/>
          <w:sz w:val="22"/>
          <w:szCs w:val="22"/>
          <w:lang w:val="en-US"/>
        </w:rPr>
        <w:t>the impact of Covid-19 on working modalities and the realignment of</w:t>
      </w:r>
      <w:r w:rsidR="00816A95" w:rsidRPr="4F6DD0A6">
        <w:rPr>
          <w:rFonts w:ascii="Corbel" w:hAnsi="Corbel" w:cs="Arial"/>
          <w:sz w:val="22"/>
          <w:szCs w:val="22"/>
          <w:lang w:val="en-US"/>
        </w:rPr>
        <w:t xml:space="preserve"> regional and national priorities.</w:t>
      </w:r>
      <w:r w:rsidR="004E6FA3" w:rsidRPr="4F6DD0A6">
        <w:rPr>
          <w:rFonts w:ascii="Corbel" w:hAnsi="Corbel" w:cs="Arial"/>
          <w:sz w:val="22"/>
          <w:szCs w:val="22"/>
          <w:lang w:val="en-US"/>
        </w:rPr>
        <w:t xml:space="preserve"> On this occasion, </w:t>
      </w:r>
      <w:r w:rsidR="00231BFD" w:rsidRPr="4F6DD0A6">
        <w:rPr>
          <w:rFonts w:ascii="Corbel" w:hAnsi="Corbel" w:cs="Arial"/>
          <w:sz w:val="22"/>
          <w:szCs w:val="22"/>
          <w:lang w:val="en-US"/>
        </w:rPr>
        <w:t xml:space="preserve">the results framework was </w:t>
      </w:r>
      <w:r w:rsidR="00434DA8" w:rsidRPr="4F6DD0A6">
        <w:rPr>
          <w:rFonts w:ascii="Corbel" w:hAnsi="Corbel" w:cs="Arial"/>
          <w:sz w:val="22"/>
          <w:szCs w:val="22"/>
          <w:lang w:val="en-US"/>
        </w:rPr>
        <w:t xml:space="preserve">simplified and restructured </w:t>
      </w:r>
      <w:r w:rsidR="00AE5055" w:rsidRPr="4F6DD0A6">
        <w:rPr>
          <w:rFonts w:ascii="Corbel" w:hAnsi="Corbel" w:cs="Arial"/>
          <w:sz w:val="22"/>
          <w:szCs w:val="22"/>
          <w:lang w:val="en-US"/>
        </w:rPr>
        <w:t>to improve clarity. Nevertheless</w:t>
      </w:r>
      <w:r w:rsidR="00231BFD" w:rsidRPr="4F6DD0A6">
        <w:rPr>
          <w:rFonts w:ascii="Corbel" w:hAnsi="Corbel" w:cs="Arial"/>
          <w:sz w:val="22"/>
          <w:szCs w:val="22"/>
          <w:lang w:val="en-US"/>
        </w:rPr>
        <w:t xml:space="preserve">, </w:t>
      </w:r>
      <w:r w:rsidR="00C42B38" w:rsidRPr="4F6DD0A6">
        <w:rPr>
          <w:rFonts w:ascii="Corbel" w:hAnsi="Corbel" w:cs="Arial"/>
          <w:sz w:val="22"/>
          <w:szCs w:val="22"/>
          <w:lang w:val="en-US"/>
        </w:rPr>
        <w:t xml:space="preserve">performance </w:t>
      </w:r>
      <w:r w:rsidR="009D5060" w:rsidRPr="4F6DD0A6">
        <w:rPr>
          <w:rFonts w:ascii="Corbel" w:hAnsi="Corbel" w:cs="Arial"/>
          <w:sz w:val="22"/>
          <w:szCs w:val="22"/>
          <w:lang w:val="en-US"/>
        </w:rPr>
        <w:t>indicators suffered from a lack of baseline assessment in the design phase</w:t>
      </w:r>
      <w:r w:rsidR="00231BFD" w:rsidRPr="4F6DD0A6">
        <w:rPr>
          <w:rFonts w:ascii="Corbel" w:hAnsi="Corbel" w:cs="Arial"/>
          <w:sz w:val="22"/>
          <w:szCs w:val="22"/>
          <w:lang w:val="en-US"/>
        </w:rPr>
        <w:t xml:space="preserve">. </w:t>
      </w:r>
    </w:p>
    <w:p w14:paraId="47B48576" w14:textId="5E77C441" w:rsidR="001D6E53" w:rsidRPr="008039A5" w:rsidRDefault="001D6E53" w:rsidP="001D6E53">
      <w:pPr>
        <w:pStyle w:val="ListParagraph"/>
        <w:tabs>
          <w:tab w:val="left" w:pos="360"/>
        </w:tabs>
        <w:spacing w:line="276" w:lineRule="auto"/>
        <w:ind w:left="0"/>
        <w:contextualSpacing w:val="0"/>
        <w:jc w:val="both"/>
        <w:rPr>
          <w:rFonts w:ascii="Corbel" w:hAnsi="Corbel" w:cs="Arial"/>
          <w:sz w:val="22"/>
          <w:szCs w:val="22"/>
          <w:lang w:val="en-US"/>
        </w:rPr>
      </w:pPr>
    </w:p>
    <w:p w14:paraId="4FE1CE0C" w14:textId="521F9C82" w:rsidR="005249D2" w:rsidRDefault="005249D2" w:rsidP="001D6E53">
      <w:pPr>
        <w:pStyle w:val="ListParagraph"/>
        <w:tabs>
          <w:tab w:val="left" w:pos="360"/>
        </w:tabs>
        <w:spacing w:line="276" w:lineRule="auto"/>
        <w:ind w:left="0"/>
        <w:contextualSpacing w:val="0"/>
        <w:jc w:val="both"/>
        <w:rPr>
          <w:rFonts w:ascii="Corbel" w:hAnsi="Corbel" w:cs="Arial"/>
          <w:sz w:val="22"/>
          <w:szCs w:val="22"/>
          <w:lang w:val="en-US"/>
        </w:rPr>
      </w:pPr>
      <w:r w:rsidRPr="008039A5">
        <w:rPr>
          <w:rFonts w:ascii="Corbel" w:hAnsi="Corbel" w:cs="Arial"/>
          <w:sz w:val="22"/>
          <w:szCs w:val="22"/>
          <w:lang w:val="en-US"/>
        </w:rPr>
        <w:t>Th</w:t>
      </w:r>
      <w:r>
        <w:rPr>
          <w:rFonts w:ascii="Corbel" w:hAnsi="Corbel" w:cs="Arial"/>
          <w:sz w:val="22"/>
          <w:szCs w:val="22"/>
          <w:lang w:val="en-US"/>
        </w:rPr>
        <w:t>is</w:t>
      </w:r>
      <w:r w:rsidRPr="008039A5">
        <w:rPr>
          <w:rFonts w:ascii="Corbel" w:hAnsi="Corbel" w:cs="Arial"/>
          <w:sz w:val="22"/>
          <w:szCs w:val="22"/>
          <w:lang w:val="en-US"/>
        </w:rPr>
        <w:t xml:space="preserve"> Final Report aims to provide </w:t>
      </w:r>
      <w:r>
        <w:rPr>
          <w:rFonts w:ascii="Corbel" w:hAnsi="Corbel" w:cs="Arial"/>
          <w:sz w:val="22"/>
          <w:szCs w:val="22"/>
          <w:lang w:val="en-US"/>
        </w:rPr>
        <w:t>an overview</w:t>
      </w:r>
      <w:r w:rsidRPr="008039A5">
        <w:rPr>
          <w:rFonts w:ascii="Corbel" w:hAnsi="Corbel" w:cs="Arial"/>
          <w:sz w:val="22"/>
          <w:szCs w:val="22"/>
          <w:lang w:val="en-US"/>
        </w:rPr>
        <w:t xml:space="preserve"> of </w:t>
      </w:r>
      <w:r>
        <w:rPr>
          <w:rFonts w:ascii="Corbel" w:hAnsi="Corbel" w:cs="Arial"/>
          <w:sz w:val="22"/>
          <w:szCs w:val="22"/>
          <w:lang w:val="en-US"/>
        </w:rPr>
        <w:t>results achieved during the entire duration of the project from November 2017, until March 202</w:t>
      </w:r>
      <w:r w:rsidR="00D80DE0">
        <w:rPr>
          <w:rFonts w:ascii="Corbel" w:hAnsi="Corbel" w:cs="Arial"/>
          <w:sz w:val="22"/>
          <w:szCs w:val="22"/>
          <w:lang w:val="en-US"/>
        </w:rPr>
        <w:t>2</w:t>
      </w:r>
      <w:r>
        <w:rPr>
          <w:rFonts w:ascii="Corbel" w:hAnsi="Corbel" w:cs="Arial"/>
          <w:sz w:val="22"/>
          <w:szCs w:val="22"/>
          <w:lang w:val="en-US"/>
        </w:rPr>
        <w:t>.</w:t>
      </w:r>
      <w:r w:rsidR="00EC7D71">
        <w:rPr>
          <w:rFonts w:ascii="Corbel" w:hAnsi="Corbel" w:cs="Arial"/>
          <w:sz w:val="22"/>
          <w:szCs w:val="22"/>
          <w:lang w:val="en-US"/>
        </w:rPr>
        <w:t xml:space="preserve"> Annex </w:t>
      </w:r>
      <w:r w:rsidR="00940967">
        <w:rPr>
          <w:rFonts w:ascii="Corbel" w:hAnsi="Corbel" w:cs="Arial"/>
          <w:sz w:val="22"/>
          <w:szCs w:val="22"/>
          <w:lang w:val="en-US"/>
        </w:rPr>
        <w:t>1</w:t>
      </w:r>
      <w:r w:rsidR="00EC7D71">
        <w:rPr>
          <w:rFonts w:ascii="Corbel" w:hAnsi="Corbel" w:cs="Arial"/>
          <w:sz w:val="22"/>
          <w:szCs w:val="22"/>
          <w:lang w:val="en-US"/>
        </w:rPr>
        <w:t xml:space="preserve"> provide</w:t>
      </w:r>
      <w:r w:rsidR="00D80DE0">
        <w:rPr>
          <w:rFonts w:ascii="Corbel" w:hAnsi="Corbel" w:cs="Arial"/>
          <w:sz w:val="22"/>
          <w:szCs w:val="22"/>
          <w:lang w:val="en-US"/>
        </w:rPr>
        <w:t xml:space="preserve">s details on 2021 activities, to complement </w:t>
      </w:r>
      <w:r w:rsidR="008C5484">
        <w:rPr>
          <w:rFonts w:ascii="Corbel" w:hAnsi="Corbel" w:cs="Arial"/>
          <w:sz w:val="22"/>
          <w:szCs w:val="22"/>
          <w:lang w:val="en-US"/>
        </w:rPr>
        <w:t xml:space="preserve">annual progress reports submitted in previous years. Annexes </w:t>
      </w:r>
      <w:r w:rsidR="007E3B84">
        <w:rPr>
          <w:rFonts w:ascii="Corbel" w:hAnsi="Corbel" w:cs="Arial"/>
          <w:sz w:val="22"/>
          <w:szCs w:val="22"/>
          <w:lang w:val="en-US"/>
        </w:rPr>
        <w:t>2</w:t>
      </w:r>
      <w:r w:rsidR="00F54E82">
        <w:rPr>
          <w:rFonts w:ascii="Corbel" w:hAnsi="Corbel" w:cs="Arial"/>
          <w:sz w:val="22"/>
          <w:szCs w:val="22"/>
          <w:lang w:val="en-US"/>
        </w:rPr>
        <w:t xml:space="preserve"> and </w:t>
      </w:r>
      <w:r w:rsidR="007E3B84">
        <w:rPr>
          <w:rFonts w:ascii="Corbel" w:hAnsi="Corbel" w:cs="Arial"/>
          <w:sz w:val="22"/>
          <w:szCs w:val="22"/>
          <w:lang w:val="en-US"/>
        </w:rPr>
        <w:t>3</w:t>
      </w:r>
      <w:r w:rsidR="00F54E82">
        <w:rPr>
          <w:rFonts w:ascii="Corbel" w:hAnsi="Corbel" w:cs="Arial"/>
          <w:sz w:val="22"/>
          <w:szCs w:val="22"/>
          <w:lang w:val="en-US"/>
        </w:rPr>
        <w:t xml:space="preserve"> provide in depth case studies of the project</w:t>
      </w:r>
      <w:r w:rsidR="008665D9">
        <w:rPr>
          <w:rFonts w:ascii="Corbel" w:hAnsi="Corbel" w:cs="Arial"/>
          <w:sz w:val="22"/>
          <w:szCs w:val="22"/>
          <w:lang w:val="en-US"/>
        </w:rPr>
        <w:t>’s</w:t>
      </w:r>
      <w:r w:rsidR="00F54E82">
        <w:rPr>
          <w:rFonts w:ascii="Corbel" w:hAnsi="Corbel" w:cs="Arial"/>
          <w:sz w:val="22"/>
          <w:szCs w:val="22"/>
          <w:lang w:val="en-US"/>
        </w:rPr>
        <w:t xml:space="preserve"> contribution to the pan-Arab trade in services and </w:t>
      </w:r>
      <w:r w:rsidR="00594634">
        <w:rPr>
          <w:rFonts w:ascii="Corbel" w:hAnsi="Corbel" w:cs="Arial"/>
          <w:sz w:val="22"/>
          <w:szCs w:val="22"/>
          <w:lang w:val="en-US"/>
        </w:rPr>
        <w:t xml:space="preserve">to the establishment of the national single window and the trade </w:t>
      </w:r>
      <w:r w:rsidR="00B731BD">
        <w:rPr>
          <w:rFonts w:ascii="Corbel" w:hAnsi="Corbel" w:cs="Arial"/>
          <w:sz w:val="22"/>
          <w:szCs w:val="22"/>
          <w:lang w:val="en-US"/>
        </w:rPr>
        <w:t>licensing</w:t>
      </w:r>
      <w:r w:rsidR="00594634">
        <w:rPr>
          <w:rFonts w:ascii="Corbel" w:hAnsi="Corbel" w:cs="Arial"/>
          <w:sz w:val="22"/>
          <w:szCs w:val="22"/>
          <w:lang w:val="en-US"/>
        </w:rPr>
        <w:t xml:space="preserve"> hub in Jordan.</w:t>
      </w:r>
    </w:p>
    <w:p w14:paraId="3A408FA6" w14:textId="77777777" w:rsidR="005249D2" w:rsidRDefault="005249D2" w:rsidP="001D6E53">
      <w:pPr>
        <w:pStyle w:val="ListParagraph"/>
        <w:tabs>
          <w:tab w:val="left" w:pos="360"/>
        </w:tabs>
        <w:spacing w:line="276" w:lineRule="auto"/>
        <w:ind w:left="0"/>
        <w:contextualSpacing w:val="0"/>
        <w:jc w:val="both"/>
        <w:rPr>
          <w:rFonts w:ascii="Corbel" w:hAnsi="Corbel" w:cs="Arial"/>
          <w:sz w:val="22"/>
          <w:szCs w:val="22"/>
          <w:lang w:val="en-US"/>
        </w:rPr>
      </w:pPr>
    </w:p>
    <w:p w14:paraId="26A71EA4" w14:textId="1E8CDA0C" w:rsidR="001236D7" w:rsidRDefault="00312A79" w:rsidP="001D6E53">
      <w:pPr>
        <w:pStyle w:val="ListParagraph"/>
        <w:tabs>
          <w:tab w:val="left" w:pos="360"/>
        </w:tabs>
        <w:spacing w:line="276" w:lineRule="auto"/>
        <w:ind w:left="0"/>
        <w:contextualSpacing w:val="0"/>
        <w:jc w:val="both"/>
        <w:rPr>
          <w:rFonts w:ascii="Corbel" w:hAnsi="Corbel" w:cs="Arial"/>
          <w:sz w:val="22"/>
          <w:szCs w:val="22"/>
          <w:lang w:val="en-GB"/>
        </w:rPr>
      </w:pPr>
      <w:r>
        <w:rPr>
          <w:rFonts w:ascii="Corbel" w:hAnsi="Corbel" w:cs="Arial"/>
          <w:sz w:val="22"/>
          <w:szCs w:val="22"/>
          <w:lang w:val="en-GB"/>
        </w:rPr>
        <w:t>The main a</w:t>
      </w:r>
      <w:r w:rsidR="001236D7">
        <w:rPr>
          <w:rFonts w:ascii="Corbel" w:hAnsi="Corbel" w:cs="Arial"/>
          <w:sz w:val="22"/>
          <w:szCs w:val="22"/>
          <w:lang w:val="en-GB"/>
        </w:rPr>
        <w:t>reas of work tackled by the project include</w:t>
      </w:r>
      <w:r w:rsidR="002D54C3" w:rsidRPr="008039A5">
        <w:rPr>
          <w:rFonts w:ascii="Corbel" w:hAnsi="Corbel" w:cs="Arial"/>
          <w:sz w:val="22"/>
          <w:szCs w:val="22"/>
          <w:lang w:val="en-GB"/>
        </w:rPr>
        <w:t>:</w:t>
      </w:r>
    </w:p>
    <w:p w14:paraId="0D9E8996" w14:textId="77777777" w:rsidR="00A74DBF" w:rsidRPr="00A74DBF" w:rsidRDefault="00633CF1" w:rsidP="000168EC">
      <w:pPr>
        <w:pStyle w:val="ListParagraph"/>
        <w:numPr>
          <w:ilvl w:val="0"/>
          <w:numId w:val="18"/>
        </w:numPr>
        <w:tabs>
          <w:tab w:val="left" w:pos="360"/>
        </w:tabs>
        <w:spacing w:line="276" w:lineRule="auto"/>
        <w:contextualSpacing w:val="0"/>
        <w:jc w:val="both"/>
        <w:rPr>
          <w:rFonts w:ascii="Corbel" w:hAnsi="Corbel" w:cs="Arial"/>
          <w:sz w:val="22"/>
          <w:szCs w:val="22"/>
          <w:lang w:val="en-US"/>
        </w:rPr>
      </w:pPr>
      <w:r w:rsidRPr="008039A5">
        <w:rPr>
          <w:rFonts w:ascii="Corbel" w:hAnsi="Corbel" w:cs="Arial"/>
          <w:sz w:val="22"/>
          <w:szCs w:val="22"/>
          <w:lang w:val="en-GB"/>
        </w:rPr>
        <w:t>reform of trade policies to achieve higher competitiveness</w:t>
      </w:r>
      <w:r w:rsidR="00A74DBF">
        <w:rPr>
          <w:rFonts w:ascii="Corbel" w:hAnsi="Corbel" w:cs="Arial"/>
          <w:sz w:val="22"/>
          <w:szCs w:val="22"/>
          <w:lang w:val="en-GB"/>
        </w:rPr>
        <w:t xml:space="preserve"> and</w:t>
      </w:r>
      <w:r w:rsidR="00617587" w:rsidRPr="008039A5">
        <w:rPr>
          <w:rFonts w:ascii="Corbel" w:hAnsi="Corbel" w:cs="Arial"/>
          <w:sz w:val="22"/>
          <w:szCs w:val="22"/>
          <w:lang w:val="en-GB"/>
        </w:rPr>
        <w:t xml:space="preserve"> </w:t>
      </w:r>
      <w:r w:rsidR="00DE6021" w:rsidRPr="008039A5">
        <w:rPr>
          <w:rFonts w:ascii="Corbel" w:hAnsi="Corbel" w:cs="Arial"/>
          <w:sz w:val="22"/>
          <w:szCs w:val="22"/>
          <w:lang w:val="en-GB"/>
        </w:rPr>
        <w:t xml:space="preserve">fair competition; </w:t>
      </w:r>
    </w:p>
    <w:p w14:paraId="5929F7DC" w14:textId="1268DF51" w:rsidR="00A74DBF" w:rsidRPr="00312A79" w:rsidRDefault="00DE6021" w:rsidP="000168EC">
      <w:pPr>
        <w:pStyle w:val="ListParagraph"/>
        <w:numPr>
          <w:ilvl w:val="0"/>
          <w:numId w:val="18"/>
        </w:numPr>
        <w:tabs>
          <w:tab w:val="left" w:pos="360"/>
        </w:tabs>
        <w:spacing w:line="276" w:lineRule="auto"/>
        <w:contextualSpacing w:val="0"/>
        <w:jc w:val="both"/>
        <w:rPr>
          <w:rFonts w:ascii="Corbel" w:hAnsi="Corbel" w:cs="Arial"/>
          <w:sz w:val="22"/>
          <w:szCs w:val="22"/>
          <w:lang w:val="en-US"/>
        </w:rPr>
      </w:pPr>
      <w:r w:rsidRPr="008039A5">
        <w:rPr>
          <w:rFonts w:ascii="Corbel" w:hAnsi="Corbel" w:cs="Arial"/>
          <w:sz w:val="22"/>
          <w:szCs w:val="22"/>
          <w:lang w:val="en-GB"/>
        </w:rPr>
        <w:t>operationalization of Arab connectivity and trade facilitation</w:t>
      </w:r>
      <w:r w:rsidR="00A74DBF" w:rsidRPr="00A74DBF">
        <w:rPr>
          <w:rFonts w:ascii="Corbel" w:hAnsi="Corbel" w:cs="Arial"/>
          <w:sz w:val="22"/>
          <w:szCs w:val="22"/>
          <w:lang w:val="en-GB"/>
        </w:rPr>
        <w:t xml:space="preserve"> </w:t>
      </w:r>
      <w:r w:rsidR="00A74DBF" w:rsidRPr="008039A5">
        <w:rPr>
          <w:rFonts w:ascii="Corbel" w:hAnsi="Corbel" w:cs="Arial"/>
          <w:sz w:val="22"/>
          <w:szCs w:val="22"/>
          <w:lang w:val="en-GB"/>
        </w:rPr>
        <w:t>measures</w:t>
      </w:r>
      <w:r w:rsidRPr="008039A5">
        <w:rPr>
          <w:rFonts w:ascii="Corbel" w:hAnsi="Corbel" w:cs="Arial"/>
          <w:sz w:val="22"/>
          <w:szCs w:val="22"/>
          <w:lang w:val="en-GB"/>
        </w:rPr>
        <w:t>;</w:t>
      </w:r>
    </w:p>
    <w:p w14:paraId="5C4BF087" w14:textId="09E4A85B" w:rsidR="00312A79" w:rsidRPr="00A74DBF" w:rsidRDefault="00312A79" w:rsidP="000168EC">
      <w:pPr>
        <w:pStyle w:val="ListParagraph"/>
        <w:numPr>
          <w:ilvl w:val="0"/>
          <w:numId w:val="18"/>
        </w:numPr>
        <w:tabs>
          <w:tab w:val="left" w:pos="360"/>
        </w:tabs>
        <w:spacing w:line="276" w:lineRule="auto"/>
        <w:contextualSpacing w:val="0"/>
        <w:jc w:val="both"/>
        <w:rPr>
          <w:rFonts w:ascii="Corbel" w:hAnsi="Corbel" w:cs="Arial"/>
          <w:sz w:val="22"/>
          <w:szCs w:val="22"/>
          <w:lang w:val="en-US"/>
        </w:rPr>
      </w:pPr>
      <w:r w:rsidRPr="008039A5">
        <w:rPr>
          <w:rFonts w:ascii="Corbel" w:hAnsi="Corbel" w:cs="Arial"/>
          <w:sz w:val="22"/>
          <w:szCs w:val="22"/>
          <w:lang w:val="en-US"/>
        </w:rPr>
        <w:t xml:space="preserve">promotion of </w:t>
      </w:r>
      <w:r>
        <w:rPr>
          <w:rFonts w:ascii="Corbel" w:hAnsi="Corbel" w:cs="Arial"/>
          <w:sz w:val="22"/>
          <w:szCs w:val="22"/>
          <w:lang w:val="en-US"/>
        </w:rPr>
        <w:t>transparency and efficiencies among</w:t>
      </w:r>
      <w:r w:rsidRPr="008039A5">
        <w:rPr>
          <w:rFonts w:ascii="Corbel" w:hAnsi="Corbel" w:cs="Arial"/>
          <w:sz w:val="22"/>
          <w:szCs w:val="22"/>
          <w:lang w:val="en-US"/>
        </w:rPr>
        <w:t xml:space="preserve"> border control agencies</w:t>
      </w:r>
      <w:r>
        <w:rPr>
          <w:rFonts w:ascii="Corbel" w:hAnsi="Corbel" w:cs="Arial"/>
          <w:sz w:val="22"/>
          <w:szCs w:val="22"/>
          <w:lang w:val="en-US"/>
        </w:rPr>
        <w:t>; and</w:t>
      </w:r>
    </w:p>
    <w:p w14:paraId="10AC0383" w14:textId="03F19A15" w:rsidR="00816A95" w:rsidRPr="00312A79" w:rsidRDefault="00DE6021" w:rsidP="000168EC">
      <w:pPr>
        <w:pStyle w:val="ListParagraph"/>
        <w:numPr>
          <w:ilvl w:val="0"/>
          <w:numId w:val="18"/>
        </w:numPr>
        <w:tabs>
          <w:tab w:val="left" w:pos="360"/>
        </w:tabs>
        <w:spacing w:line="276" w:lineRule="auto"/>
        <w:contextualSpacing w:val="0"/>
        <w:jc w:val="both"/>
        <w:rPr>
          <w:rFonts w:ascii="Corbel" w:hAnsi="Corbel" w:cs="Arial"/>
          <w:sz w:val="22"/>
          <w:szCs w:val="22"/>
          <w:lang w:val="en-US"/>
        </w:rPr>
      </w:pPr>
      <w:r w:rsidRPr="008039A5">
        <w:rPr>
          <w:rFonts w:ascii="Corbel" w:hAnsi="Corbel" w:cs="Arial"/>
          <w:sz w:val="22"/>
          <w:szCs w:val="22"/>
          <w:lang w:val="en-GB"/>
        </w:rPr>
        <w:t>assistance to small</w:t>
      </w:r>
      <w:r w:rsidR="002D3060">
        <w:rPr>
          <w:rFonts w:ascii="Corbel" w:hAnsi="Corbel" w:cs="Arial"/>
          <w:sz w:val="22"/>
          <w:szCs w:val="22"/>
          <w:lang w:val="en-GB"/>
        </w:rPr>
        <w:t xml:space="preserve"> and</w:t>
      </w:r>
      <w:r w:rsidRPr="008039A5">
        <w:rPr>
          <w:rFonts w:ascii="Corbel" w:hAnsi="Corbel" w:cs="Arial"/>
          <w:sz w:val="22"/>
          <w:szCs w:val="22"/>
          <w:lang w:val="en-GB"/>
        </w:rPr>
        <w:t xml:space="preserve"> medium </w:t>
      </w:r>
      <w:r w:rsidR="00357D64" w:rsidRPr="008039A5">
        <w:rPr>
          <w:rFonts w:ascii="Corbel" w:hAnsi="Corbel" w:cs="Arial"/>
          <w:sz w:val="22"/>
          <w:szCs w:val="22"/>
          <w:lang w:val="en-GB"/>
        </w:rPr>
        <w:t xml:space="preserve">enterprises </w:t>
      </w:r>
      <w:r w:rsidR="002D3060">
        <w:rPr>
          <w:rFonts w:ascii="Corbel" w:hAnsi="Corbel" w:cs="Arial"/>
          <w:sz w:val="22"/>
          <w:szCs w:val="22"/>
          <w:lang w:val="en-GB"/>
        </w:rPr>
        <w:t>to access international markets</w:t>
      </w:r>
      <w:r w:rsidR="00312A79">
        <w:rPr>
          <w:rFonts w:ascii="Corbel" w:hAnsi="Corbel" w:cs="Arial"/>
          <w:sz w:val="22"/>
          <w:szCs w:val="22"/>
          <w:lang w:val="en-US"/>
        </w:rPr>
        <w:t>.</w:t>
      </w:r>
    </w:p>
    <w:p w14:paraId="763E42C7" w14:textId="77777777" w:rsidR="005111ED" w:rsidRDefault="005111ED" w:rsidP="007D5CE2">
      <w:pPr>
        <w:tabs>
          <w:tab w:val="left" w:pos="360"/>
        </w:tabs>
        <w:spacing w:line="276" w:lineRule="auto"/>
        <w:jc w:val="both"/>
        <w:rPr>
          <w:rFonts w:ascii="Corbel" w:hAnsi="Corbel" w:cs="Arial"/>
          <w:sz w:val="22"/>
          <w:szCs w:val="22"/>
        </w:rPr>
      </w:pPr>
    </w:p>
    <w:p w14:paraId="4E8E025E" w14:textId="46570701" w:rsidR="005111ED" w:rsidRDefault="005111ED" w:rsidP="007D5CE2">
      <w:pPr>
        <w:tabs>
          <w:tab w:val="left" w:pos="360"/>
        </w:tabs>
        <w:spacing w:line="276" w:lineRule="auto"/>
        <w:jc w:val="both"/>
        <w:rPr>
          <w:rFonts w:ascii="Corbel" w:hAnsi="Corbel" w:cs="Arial"/>
          <w:sz w:val="22"/>
          <w:szCs w:val="22"/>
        </w:rPr>
      </w:pPr>
      <w:r w:rsidRPr="4F6DD0A6">
        <w:rPr>
          <w:rFonts w:ascii="Corbel" w:hAnsi="Corbel" w:cs="Arial"/>
          <w:sz w:val="22"/>
          <w:szCs w:val="22"/>
        </w:rPr>
        <w:t>Key project achievements include:</w:t>
      </w:r>
    </w:p>
    <w:p w14:paraId="2540DBE7" w14:textId="77777777" w:rsidR="00587DEC" w:rsidRPr="00587DEC" w:rsidRDefault="00C550DB" w:rsidP="000168EC">
      <w:pPr>
        <w:pStyle w:val="ListParagraph"/>
        <w:numPr>
          <w:ilvl w:val="0"/>
          <w:numId w:val="19"/>
        </w:numPr>
        <w:tabs>
          <w:tab w:val="left" w:pos="360"/>
        </w:tabs>
        <w:spacing w:line="276" w:lineRule="auto"/>
        <w:jc w:val="both"/>
        <w:rPr>
          <w:rFonts w:ascii="Corbel" w:hAnsi="Corbel" w:cs="Arial"/>
          <w:sz w:val="22"/>
          <w:szCs w:val="22"/>
          <w:lang w:val="en-GB"/>
        </w:rPr>
      </w:pPr>
      <w:r w:rsidRPr="00587DEC">
        <w:rPr>
          <w:rFonts w:ascii="Corbel" w:hAnsi="Corbel" w:cs="Arial"/>
          <w:sz w:val="22"/>
          <w:szCs w:val="22"/>
          <w:lang w:val="en-US"/>
        </w:rPr>
        <w:t>The adoption of</w:t>
      </w:r>
      <w:r w:rsidR="0000570A" w:rsidRPr="00587DEC">
        <w:rPr>
          <w:rFonts w:ascii="Corbel" w:hAnsi="Corbel" w:cs="Arial"/>
          <w:sz w:val="22"/>
          <w:szCs w:val="22"/>
        </w:rPr>
        <w:t xml:space="preserve"> legal instruments </w:t>
      </w:r>
      <w:r w:rsidR="001367E5" w:rsidRPr="00587DEC">
        <w:rPr>
          <w:rFonts w:ascii="Corbel" w:hAnsi="Corbel" w:cs="Arial"/>
          <w:sz w:val="22"/>
          <w:szCs w:val="22"/>
          <w:lang w:val="en-US"/>
        </w:rPr>
        <w:t>for</w:t>
      </w:r>
      <w:r w:rsidR="0000570A" w:rsidRPr="00587DEC">
        <w:rPr>
          <w:rFonts w:ascii="Corbel" w:hAnsi="Corbel" w:cs="Arial"/>
          <w:sz w:val="22"/>
          <w:szCs w:val="22"/>
        </w:rPr>
        <w:t xml:space="preserve"> the upgrading of </w:t>
      </w:r>
      <w:r w:rsidR="00913682" w:rsidRPr="00587DEC">
        <w:rPr>
          <w:rFonts w:ascii="Corbel" w:hAnsi="Corbel" w:cs="Arial"/>
          <w:sz w:val="22"/>
          <w:szCs w:val="22"/>
          <w:lang w:val="en-US"/>
        </w:rPr>
        <w:t>PAFTA</w:t>
      </w:r>
      <w:r w:rsidRPr="00587DEC">
        <w:rPr>
          <w:rFonts w:ascii="Corbel" w:hAnsi="Corbel" w:cs="Arial"/>
          <w:sz w:val="22"/>
          <w:szCs w:val="22"/>
          <w:lang w:val="en-US"/>
        </w:rPr>
        <w:t xml:space="preserve"> in the areas of</w:t>
      </w:r>
      <w:r w:rsidR="00775E5C" w:rsidRPr="00587DEC">
        <w:rPr>
          <w:rFonts w:ascii="Corbel" w:hAnsi="Corbel" w:cs="Arial"/>
          <w:sz w:val="22"/>
          <w:szCs w:val="22"/>
        </w:rPr>
        <w:t xml:space="preserve"> trade facilitation, dispute settlement, competition</w:t>
      </w:r>
      <w:r w:rsidR="00D52A9F" w:rsidRPr="00587DEC">
        <w:rPr>
          <w:rFonts w:ascii="Corbel" w:hAnsi="Corbel" w:cs="Arial"/>
          <w:sz w:val="22"/>
          <w:szCs w:val="22"/>
          <w:lang w:val="en-US"/>
        </w:rPr>
        <w:t>,</w:t>
      </w:r>
      <w:r w:rsidR="00775E5C" w:rsidRPr="00587DEC">
        <w:rPr>
          <w:rFonts w:ascii="Corbel" w:hAnsi="Corbel" w:cs="Arial"/>
          <w:sz w:val="22"/>
          <w:szCs w:val="22"/>
        </w:rPr>
        <w:t xml:space="preserve"> and protection of Intellectual Property Right</w:t>
      </w:r>
      <w:r w:rsidR="00DD670A" w:rsidRPr="00587DEC">
        <w:rPr>
          <w:rFonts w:ascii="Corbel" w:hAnsi="Corbel" w:cs="Arial"/>
          <w:sz w:val="22"/>
          <w:szCs w:val="22"/>
          <w:lang w:val="en-US"/>
        </w:rPr>
        <w:t xml:space="preserve">, for which the project prepared </w:t>
      </w:r>
      <w:r w:rsidR="00887183" w:rsidRPr="00587DEC">
        <w:rPr>
          <w:rFonts w:ascii="Corbel" w:hAnsi="Corbel" w:cs="Arial"/>
          <w:sz w:val="22"/>
          <w:szCs w:val="22"/>
          <w:lang w:val="en-US"/>
        </w:rPr>
        <w:t xml:space="preserve">technical analysis and </w:t>
      </w:r>
      <w:r w:rsidR="00DD670A" w:rsidRPr="00587DEC">
        <w:rPr>
          <w:rFonts w:ascii="Corbel" w:hAnsi="Corbel" w:cs="Arial"/>
          <w:sz w:val="22"/>
          <w:szCs w:val="22"/>
          <w:lang w:val="en-US"/>
        </w:rPr>
        <w:t>initial draft</w:t>
      </w:r>
      <w:r w:rsidR="00887183" w:rsidRPr="00587DEC">
        <w:rPr>
          <w:rFonts w:ascii="Corbel" w:hAnsi="Corbel" w:cs="Arial"/>
          <w:sz w:val="22"/>
          <w:szCs w:val="22"/>
          <w:lang w:val="en-US"/>
        </w:rPr>
        <w:t>s</w:t>
      </w:r>
      <w:r w:rsidR="006E30EC" w:rsidRPr="00587DEC">
        <w:rPr>
          <w:rFonts w:ascii="Corbel" w:hAnsi="Corbel" w:cs="Arial"/>
          <w:sz w:val="22"/>
          <w:szCs w:val="22"/>
          <w:lang w:val="en-US"/>
        </w:rPr>
        <w:t xml:space="preserve">, as well as </w:t>
      </w:r>
      <w:r w:rsidR="00F737BF" w:rsidRPr="00587DEC">
        <w:rPr>
          <w:rFonts w:ascii="Corbel" w:hAnsi="Corbel" w:cs="Arial"/>
          <w:sz w:val="22"/>
          <w:szCs w:val="22"/>
          <w:lang w:val="en-US"/>
        </w:rPr>
        <w:t>support</w:t>
      </w:r>
      <w:r w:rsidR="006E30EC" w:rsidRPr="00587DEC">
        <w:rPr>
          <w:rFonts w:ascii="Corbel" w:hAnsi="Corbel" w:cs="Arial"/>
          <w:sz w:val="22"/>
          <w:szCs w:val="22"/>
          <w:lang w:val="en-US"/>
        </w:rPr>
        <w:t>ing</w:t>
      </w:r>
      <w:r w:rsidR="00F737BF" w:rsidRPr="00587DEC">
        <w:rPr>
          <w:rFonts w:ascii="Corbel" w:hAnsi="Corbel" w:cs="Arial"/>
          <w:sz w:val="22"/>
          <w:szCs w:val="22"/>
          <w:lang w:val="en-US"/>
        </w:rPr>
        <w:t xml:space="preserve"> ne</w:t>
      </w:r>
      <w:r w:rsidR="006E30EC" w:rsidRPr="00587DEC">
        <w:rPr>
          <w:rFonts w:ascii="Corbel" w:hAnsi="Corbel" w:cs="Arial"/>
          <w:sz w:val="22"/>
          <w:szCs w:val="22"/>
          <w:lang w:val="en-US"/>
        </w:rPr>
        <w:t>g</w:t>
      </w:r>
      <w:r w:rsidR="00F737BF" w:rsidRPr="00587DEC">
        <w:rPr>
          <w:rFonts w:ascii="Corbel" w:hAnsi="Corbel" w:cs="Arial"/>
          <w:sz w:val="22"/>
          <w:szCs w:val="22"/>
          <w:lang w:val="en-US"/>
        </w:rPr>
        <w:t>otiations among LAS member states.</w:t>
      </w:r>
    </w:p>
    <w:p w14:paraId="0851EFD7" w14:textId="39455F55" w:rsidR="00587DEC" w:rsidRDefault="00587DEC" w:rsidP="000168EC">
      <w:pPr>
        <w:pStyle w:val="ListParagraph"/>
        <w:numPr>
          <w:ilvl w:val="0"/>
          <w:numId w:val="19"/>
        </w:numPr>
        <w:tabs>
          <w:tab w:val="left" w:pos="360"/>
        </w:tabs>
        <w:spacing w:line="276" w:lineRule="auto"/>
        <w:jc w:val="both"/>
        <w:rPr>
          <w:rFonts w:ascii="Corbel" w:hAnsi="Corbel" w:cs="Arial"/>
          <w:sz w:val="22"/>
          <w:szCs w:val="22"/>
          <w:lang w:val="en-GB"/>
        </w:rPr>
      </w:pPr>
      <w:r>
        <w:rPr>
          <w:rFonts w:ascii="Corbel" w:hAnsi="Corbel" w:cs="Arial"/>
          <w:iCs/>
          <w:sz w:val="22"/>
          <w:szCs w:val="22"/>
          <w:lang w:val="en-GB"/>
        </w:rPr>
        <w:t>Upgraded</w:t>
      </w:r>
      <w:r w:rsidRPr="00B84D6B">
        <w:rPr>
          <w:rFonts w:ascii="Corbel" w:hAnsi="Corbel" w:cs="Arial"/>
          <w:iCs/>
          <w:sz w:val="22"/>
          <w:szCs w:val="22"/>
          <w:lang w:val="en-GB"/>
        </w:rPr>
        <w:t xml:space="preserve"> monitoring </w:t>
      </w:r>
      <w:r>
        <w:rPr>
          <w:rFonts w:ascii="Corbel" w:hAnsi="Corbel" w:cs="Arial"/>
          <w:iCs/>
          <w:sz w:val="22"/>
          <w:szCs w:val="22"/>
          <w:lang w:val="en-GB"/>
        </w:rPr>
        <w:t xml:space="preserve">tools </w:t>
      </w:r>
      <w:r w:rsidR="00C61C9B">
        <w:rPr>
          <w:rFonts w:ascii="Corbel" w:hAnsi="Corbel" w:cs="Arial"/>
          <w:iCs/>
          <w:sz w:val="22"/>
          <w:szCs w:val="22"/>
          <w:lang w:val="en-GB"/>
        </w:rPr>
        <w:t>for</w:t>
      </w:r>
      <w:r w:rsidRPr="00B84D6B">
        <w:rPr>
          <w:rFonts w:ascii="Corbel" w:hAnsi="Corbel" w:cs="Arial"/>
          <w:iCs/>
          <w:sz w:val="22"/>
          <w:szCs w:val="22"/>
          <w:lang w:val="en-GB"/>
        </w:rPr>
        <w:t xml:space="preserve"> Arab Economic Integration</w:t>
      </w:r>
      <w:r w:rsidR="00C61C9B">
        <w:rPr>
          <w:rFonts w:ascii="Corbel" w:hAnsi="Corbel" w:cs="Arial"/>
          <w:iCs/>
          <w:sz w:val="22"/>
          <w:szCs w:val="22"/>
          <w:lang w:val="en-GB"/>
        </w:rPr>
        <w:t>, through</w:t>
      </w:r>
      <w:r w:rsidRPr="00B84D6B">
        <w:rPr>
          <w:rFonts w:ascii="Corbel" w:hAnsi="Corbel" w:cs="Arial"/>
          <w:iCs/>
          <w:sz w:val="22"/>
          <w:szCs w:val="22"/>
          <w:lang w:val="en-GB"/>
        </w:rPr>
        <w:t xml:space="preserve"> the adoption of </w:t>
      </w:r>
      <w:r w:rsidR="00C61C9B">
        <w:rPr>
          <w:rFonts w:ascii="Corbel" w:hAnsi="Corbel" w:cs="Arial"/>
          <w:iCs/>
          <w:sz w:val="22"/>
          <w:szCs w:val="22"/>
          <w:lang w:val="en-GB"/>
        </w:rPr>
        <w:t>a</w:t>
      </w:r>
      <w:r w:rsidRPr="00B84D6B">
        <w:rPr>
          <w:rFonts w:ascii="Corbel" w:hAnsi="Corbel" w:cs="Arial"/>
          <w:iCs/>
          <w:sz w:val="22"/>
          <w:szCs w:val="22"/>
          <w:lang w:val="en-GB"/>
        </w:rPr>
        <w:t xml:space="preserve"> new reporting format </w:t>
      </w:r>
      <w:r w:rsidR="001A5476">
        <w:rPr>
          <w:rFonts w:ascii="Corbel" w:hAnsi="Corbel" w:cs="Arial"/>
          <w:iCs/>
          <w:sz w:val="22"/>
          <w:szCs w:val="22"/>
          <w:lang w:val="en-GB"/>
        </w:rPr>
        <w:t>on</w:t>
      </w:r>
      <w:r w:rsidRPr="00B84D6B">
        <w:rPr>
          <w:rFonts w:ascii="Corbel" w:hAnsi="Corbel" w:cs="Arial"/>
          <w:iCs/>
          <w:sz w:val="22"/>
          <w:szCs w:val="22"/>
          <w:lang w:val="en-GB"/>
        </w:rPr>
        <w:t xml:space="preserve"> annual progress </w:t>
      </w:r>
      <w:r w:rsidR="001A5476">
        <w:rPr>
          <w:rFonts w:ascii="Corbel" w:hAnsi="Corbel" w:cs="Arial"/>
          <w:iCs/>
          <w:sz w:val="22"/>
          <w:szCs w:val="22"/>
          <w:lang w:val="en-GB"/>
        </w:rPr>
        <w:t xml:space="preserve">achieved </w:t>
      </w:r>
      <w:r w:rsidRPr="00B84D6B">
        <w:rPr>
          <w:rFonts w:ascii="Corbel" w:hAnsi="Corbel" w:cs="Arial"/>
          <w:iCs/>
          <w:sz w:val="22"/>
          <w:szCs w:val="22"/>
          <w:lang w:val="en-GB"/>
        </w:rPr>
        <w:t>by ECOSOC and Arab countries.</w:t>
      </w:r>
    </w:p>
    <w:p w14:paraId="344BA2E2" w14:textId="1D5371C9" w:rsidR="006055CB" w:rsidRPr="00587DEC" w:rsidRDefault="001827B6" w:rsidP="000168EC">
      <w:pPr>
        <w:pStyle w:val="ListParagraph"/>
        <w:numPr>
          <w:ilvl w:val="0"/>
          <w:numId w:val="19"/>
        </w:numPr>
        <w:tabs>
          <w:tab w:val="left" w:pos="360"/>
        </w:tabs>
        <w:spacing w:line="276" w:lineRule="auto"/>
        <w:jc w:val="both"/>
        <w:rPr>
          <w:rFonts w:ascii="Corbel" w:hAnsi="Corbel" w:cs="Arial"/>
          <w:sz w:val="22"/>
          <w:szCs w:val="22"/>
          <w:lang w:val="en-GB"/>
        </w:rPr>
      </w:pPr>
      <w:r w:rsidRPr="00587DEC">
        <w:rPr>
          <w:rFonts w:ascii="Corbel" w:hAnsi="Corbel" w:cs="Arial"/>
          <w:sz w:val="22"/>
          <w:szCs w:val="22"/>
          <w:lang w:val="en-GB"/>
        </w:rPr>
        <w:t xml:space="preserve">The definition of </w:t>
      </w:r>
      <w:r w:rsidR="00642F74" w:rsidRPr="00587DEC">
        <w:rPr>
          <w:rFonts w:ascii="Corbel" w:hAnsi="Corbel" w:cs="Arial"/>
          <w:sz w:val="22"/>
          <w:szCs w:val="22"/>
          <w:lang w:val="en-GB"/>
        </w:rPr>
        <w:t xml:space="preserve">a </w:t>
      </w:r>
      <w:r w:rsidRPr="00587DEC">
        <w:rPr>
          <w:rFonts w:ascii="Corbel" w:hAnsi="Corbel" w:cs="Arial"/>
          <w:sz w:val="22"/>
          <w:szCs w:val="22"/>
          <w:lang w:val="en-GB"/>
        </w:rPr>
        <w:t>new strateg</w:t>
      </w:r>
      <w:r w:rsidR="00642F74" w:rsidRPr="00587DEC">
        <w:rPr>
          <w:rFonts w:ascii="Corbel" w:hAnsi="Corbel" w:cs="Arial"/>
          <w:sz w:val="22"/>
          <w:szCs w:val="22"/>
          <w:lang w:val="en-GB"/>
        </w:rPr>
        <w:t>y for</w:t>
      </w:r>
      <w:r w:rsidRPr="00587DEC">
        <w:rPr>
          <w:rFonts w:ascii="Corbel" w:hAnsi="Corbel" w:cs="Arial"/>
          <w:sz w:val="22"/>
          <w:szCs w:val="22"/>
          <w:lang w:val="en-GB"/>
        </w:rPr>
        <w:t xml:space="preserve"> the development of the Arab Customs Union, </w:t>
      </w:r>
      <w:r w:rsidR="00523F8A" w:rsidRPr="00587DEC">
        <w:rPr>
          <w:rFonts w:ascii="Corbel" w:hAnsi="Corbel" w:cs="Arial"/>
          <w:sz w:val="22"/>
          <w:szCs w:val="22"/>
          <w:lang w:val="en-GB"/>
        </w:rPr>
        <w:t xml:space="preserve">through the </w:t>
      </w:r>
      <w:r w:rsidRPr="00587DEC">
        <w:rPr>
          <w:rFonts w:ascii="Corbel" w:hAnsi="Corbel" w:cs="Arial"/>
          <w:sz w:val="22"/>
          <w:szCs w:val="22"/>
          <w:lang w:val="en-GB"/>
        </w:rPr>
        <w:t xml:space="preserve">operationalization of </w:t>
      </w:r>
      <w:r w:rsidR="00800276" w:rsidRPr="00587DEC">
        <w:rPr>
          <w:rFonts w:ascii="Corbel" w:hAnsi="Corbel" w:cs="Arial"/>
          <w:sz w:val="22"/>
          <w:szCs w:val="22"/>
          <w:lang w:val="en-GB"/>
        </w:rPr>
        <w:t xml:space="preserve">guidelines for </w:t>
      </w:r>
      <w:r w:rsidRPr="00587DEC">
        <w:rPr>
          <w:rFonts w:ascii="Corbel" w:hAnsi="Corbel" w:cs="Arial"/>
          <w:sz w:val="22"/>
          <w:szCs w:val="22"/>
          <w:lang w:val="en-GB"/>
        </w:rPr>
        <w:t xml:space="preserve">the cumulation of rules of origin </w:t>
      </w:r>
      <w:r w:rsidR="00CD66FB" w:rsidRPr="00587DEC">
        <w:rPr>
          <w:rFonts w:ascii="Corbel" w:hAnsi="Corbel" w:cs="Arial"/>
          <w:sz w:val="22"/>
          <w:szCs w:val="22"/>
          <w:lang w:val="en-GB"/>
        </w:rPr>
        <w:t xml:space="preserve">and </w:t>
      </w:r>
      <w:r w:rsidR="00800276" w:rsidRPr="00587DEC">
        <w:rPr>
          <w:rFonts w:ascii="Corbel" w:hAnsi="Corbel" w:cs="Arial"/>
          <w:sz w:val="22"/>
          <w:szCs w:val="22"/>
          <w:lang w:val="en-GB"/>
        </w:rPr>
        <w:t xml:space="preserve">the </w:t>
      </w:r>
      <w:r w:rsidR="00CD66FB" w:rsidRPr="00587DEC">
        <w:rPr>
          <w:rFonts w:ascii="Corbel" w:hAnsi="Corbel" w:cs="Arial"/>
          <w:sz w:val="22"/>
          <w:szCs w:val="22"/>
          <w:lang w:val="en-GB"/>
        </w:rPr>
        <w:t>application of the Authorized Economic Operators.</w:t>
      </w:r>
      <w:r w:rsidR="004D0D32" w:rsidRPr="00587DEC">
        <w:rPr>
          <w:rFonts w:ascii="Corbel" w:hAnsi="Corbel" w:cs="Arial"/>
          <w:sz w:val="22"/>
          <w:szCs w:val="22"/>
          <w:lang w:val="en-GB"/>
        </w:rPr>
        <w:t xml:space="preserve"> </w:t>
      </w:r>
      <w:r w:rsidR="004A6532" w:rsidRPr="00587DEC">
        <w:rPr>
          <w:rFonts w:ascii="Corbel" w:hAnsi="Corbel" w:cs="Arial"/>
          <w:sz w:val="22"/>
          <w:szCs w:val="22"/>
          <w:lang w:val="en-GB"/>
        </w:rPr>
        <w:t>This included:</w:t>
      </w:r>
    </w:p>
    <w:p w14:paraId="2AC943A3" w14:textId="3B2DC1A8" w:rsidR="004A6532" w:rsidRDefault="004A6532" w:rsidP="000168EC">
      <w:pPr>
        <w:pStyle w:val="ListParagraph"/>
        <w:numPr>
          <w:ilvl w:val="1"/>
          <w:numId w:val="19"/>
        </w:numPr>
        <w:tabs>
          <w:tab w:val="left" w:pos="360"/>
        </w:tabs>
        <w:spacing w:line="276" w:lineRule="auto"/>
        <w:jc w:val="both"/>
        <w:rPr>
          <w:rFonts w:ascii="Corbel" w:hAnsi="Corbel" w:cs="Arial"/>
          <w:sz w:val="22"/>
          <w:szCs w:val="22"/>
          <w:lang w:val="en-GB"/>
        </w:rPr>
      </w:pPr>
      <w:r w:rsidRPr="4F6DD0A6">
        <w:rPr>
          <w:rFonts w:ascii="Corbel" w:hAnsi="Corbel" w:cs="Arial"/>
          <w:sz w:val="22"/>
          <w:szCs w:val="22"/>
          <w:lang w:val="en-GB"/>
        </w:rPr>
        <w:t>A</w:t>
      </w:r>
      <w:r w:rsidR="00A128AE" w:rsidRPr="4F6DD0A6">
        <w:rPr>
          <w:rFonts w:ascii="Corbel" w:hAnsi="Corbel" w:cs="Arial"/>
          <w:sz w:val="22"/>
          <w:szCs w:val="22"/>
          <w:lang w:val="en-GB"/>
        </w:rPr>
        <w:t xml:space="preserve"> comprehensive assessment </w:t>
      </w:r>
      <w:r w:rsidR="008E16DE" w:rsidRPr="4F6DD0A6">
        <w:rPr>
          <w:rFonts w:ascii="Corbel" w:hAnsi="Corbel" w:cs="Arial"/>
          <w:sz w:val="22"/>
          <w:szCs w:val="22"/>
          <w:lang w:val="en-GB"/>
        </w:rPr>
        <w:t>of</w:t>
      </w:r>
      <w:r w:rsidR="00A128AE" w:rsidRPr="4F6DD0A6">
        <w:rPr>
          <w:rFonts w:ascii="Corbel" w:hAnsi="Corbel" w:cs="Arial"/>
          <w:sz w:val="22"/>
          <w:szCs w:val="22"/>
          <w:lang w:val="en-GB"/>
        </w:rPr>
        <w:t xml:space="preserve"> the impacts of the Arab Customs Union</w:t>
      </w:r>
      <w:r w:rsidR="00635864" w:rsidRPr="4F6DD0A6">
        <w:rPr>
          <w:rFonts w:ascii="Corbel" w:hAnsi="Corbel" w:cs="Arial"/>
          <w:sz w:val="22"/>
          <w:szCs w:val="22"/>
          <w:lang w:val="en-GB"/>
        </w:rPr>
        <w:t xml:space="preserve"> on fiscal revenues and </w:t>
      </w:r>
      <w:r w:rsidRPr="4F6DD0A6">
        <w:rPr>
          <w:rFonts w:ascii="Corbel" w:hAnsi="Corbel" w:cs="Arial"/>
          <w:sz w:val="22"/>
          <w:szCs w:val="22"/>
          <w:lang w:val="en-GB"/>
        </w:rPr>
        <w:t>economic and industrial policies in member states;</w:t>
      </w:r>
    </w:p>
    <w:p w14:paraId="37CFCDB0" w14:textId="1516EC4C" w:rsidR="000C06E9" w:rsidRDefault="004A6532" w:rsidP="000168EC">
      <w:pPr>
        <w:pStyle w:val="ListParagraph"/>
        <w:numPr>
          <w:ilvl w:val="1"/>
          <w:numId w:val="19"/>
        </w:numPr>
        <w:tabs>
          <w:tab w:val="left" w:pos="360"/>
        </w:tabs>
        <w:spacing w:line="276" w:lineRule="auto"/>
        <w:jc w:val="both"/>
        <w:rPr>
          <w:rFonts w:ascii="Corbel" w:hAnsi="Corbel" w:cs="Arial"/>
          <w:sz w:val="22"/>
          <w:szCs w:val="22"/>
          <w:lang w:val="en-GB"/>
        </w:rPr>
      </w:pPr>
      <w:r>
        <w:rPr>
          <w:rFonts w:ascii="Corbel" w:hAnsi="Corbel" w:cs="Arial"/>
          <w:sz w:val="22"/>
          <w:szCs w:val="22"/>
          <w:lang w:val="en-GB"/>
        </w:rPr>
        <w:t>T</w:t>
      </w:r>
      <w:r w:rsidR="00A0585C">
        <w:rPr>
          <w:rFonts w:ascii="Corbel" w:hAnsi="Corbel" w:cs="Arial"/>
          <w:sz w:val="22"/>
          <w:szCs w:val="22"/>
          <w:lang w:val="en-GB"/>
        </w:rPr>
        <w:t>he design of</w:t>
      </w:r>
      <w:r w:rsidR="00A128AE">
        <w:rPr>
          <w:rFonts w:ascii="Corbel" w:hAnsi="Corbel" w:cs="Arial"/>
          <w:sz w:val="22"/>
          <w:szCs w:val="22"/>
          <w:lang w:val="en-GB"/>
        </w:rPr>
        <w:t xml:space="preserve"> </w:t>
      </w:r>
      <w:r w:rsidR="00A128AE" w:rsidRPr="00805B50">
        <w:rPr>
          <w:rFonts w:ascii="Corbel" w:hAnsi="Corbel" w:cs="Arial"/>
          <w:sz w:val="22"/>
          <w:szCs w:val="22"/>
          <w:lang w:val="en-GB"/>
        </w:rPr>
        <w:t xml:space="preserve">mechanisms of distribution of collected revenues among countries </w:t>
      </w:r>
      <w:r w:rsidR="00B731BD" w:rsidRPr="00805B50">
        <w:rPr>
          <w:rFonts w:ascii="Corbel" w:hAnsi="Corbel" w:cs="Arial"/>
          <w:sz w:val="22"/>
          <w:szCs w:val="22"/>
          <w:lang w:val="en-GB"/>
        </w:rPr>
        <w:t>based on</w:t>
      </w:r>
      <w:r w:rsidR="00A128AE" w:rsidRPr="00805B50">
        <w:rPr>
          <w:rFonts w:ascii="Corbel" w:hAnsi="Corbel" w:cs="Arial"/>
          <w:sz w:val="22"/>
          <w:szCs w:val="22"/>
          <w:lang w:val="en-GB"/>
        </w:rPr>
        <w:t xml:space="preserve"> international experiences and commitments under the World Trade Organization.</w:t>
      </w:r>
    </w:p>
    <w:p w14:paraId="5B603122" w14:textId="63E2416E" w:rsidR="00A128AE" w:rsidRPr="000C06E9" w:rsidRDefault="00A128AE" w:rsidP="000B5C71">
      <w:pPr>
        <w:tabs>
          <w:tab w:val="left" w:pos="360"/>
        </w:tabs>
        <w:spacing w:line="276" w:lineRule="auto"/>
        <w:ind w:left="851"/>
        <w:jc w:val="both"/>
        <w:rPr>
          <w:rFonts w:ascii="Corbel" w:hAnsi="Corbel" w:cs="Arial"/>
          <w:sz w:val="22"/>
          <w:szCs w:val="22"/>
          <w:lang w:val="en-GB"/>
        </w:rPr>
      </w:pPr>
      <w:r w:rsidRPr="000C06E9">
        <w:rPr>
          <w:rFonts w:ascii="Corbel" w:hAnsi="Corbel" w:cs="Arial"/>
          <w:sz w:val="22"/>
          <w:szCs w:val="22"/>
          <w:lang w:val="en-GB"/>
        </w:rPr>
        <w:t>The finding</w:t>
      </w:r>
      <w:r w:rsidR="000C06E9">
        <w:rPr>
          <w:rFonts w:ascii="Corbel" w:hAnsi="Corbel" w:cs="Arial"/>
          <w:sz w:val="22"/>
          <w:szCs w:val="22"/>
          <w:lang w:val="en-GB"/>
        </w:rPr>
        <w:t>s</w:t>
      </w:r>
      <w:r w:rsidRPr="000C06E9">
        <w:rPr>
          <w:rFonts w:ascii="Corbel" w:hAnsi="Corbel" w:cs="Arial"/>
          <w:sz w:val="22"/>
          <w:szCs w:val="22"/>
          <w:lang w:val="en-GB"/>
        </w:rPr>
        <w:t xml:space="preserve"> informed the ACU draft agreement for the forthcoming negotiations</w:t>
      </w:r>
      <w:r w:rsidR="000B5C71">
        <w:rPr>
          <w:rFonts w:ascii="Corbel" w:hAnsi="Corbel" w:cs="Arial"/>
          <w:sz w:val="22"/>
          <w:szCs w:val="22"/>
          <w:lang w:val="en-GB"/>
        </w:rPr>
        <w:t>, which is tabled for negotiations</w:t>
      </w:r>
      <w:r w:rsidRPr="000C06E9">
        <w:rPr>
          <w:rFonts w:ascii="Corbel" w:hAnsi="Corbel" w:cs="Arial"/>
          <w:sz w:val="22"/>
          <w:szCs w:val="22"/>
          <w:lang w:val="en-GB"/>
        </w:rPr>
        <w:t>.</w:t>
      </w:r>
    </w:p>
    <w:p w14:paraId="4A0D48FA" w14:textId="0BEF3463" w:rsidR="00127A02" w:rsidRPr="00127A02" w:rsidRDefault="00246E5E" w:rsidP="000168EC">
      <w:pPr>
        <w:pStyle w:val="ListParagraph"/>
        <w:numPr>
          <w:ilvl w:val="0"/>
          <w:numId w:val="19"/>
        </w:numPr>
        <w:tabs>
          <w:tab w:val="left" w:pos="360"/>
        </w:tabs>
        <w:spacing w:line="276" w:lineRule="auto"/>
        <w:jc w:val="both"/>
        <w:rPr>
          <w:rFonts w:ascii="Corbel" w:hAnsi="Corbel" w:cs="Arial"/>
          <w:sz w:val="22"/>
          <w:szCs w:val="22"/>
          <w:lang w:val="en-GB"/>
        </w:rPr>
      </w:pPr>
      <w:r w:rsidRPr="00127A02">
        <w:rPr>
          <w:rFonts w:ascii="Corbel" w:hAnsi="Corbel" w:cs="Arial"/>
          <w:sz w:val="22"/>
          <w:szCs w:val="22"/>
          <w:lang w:val="en-GB"/>
        </w:rPr>
        <w:t xml:space="preserve">Guidelines on </w:t>
      </w:r>
      <w:r w:rsidR="00636F35">
        <w:rPr>
          <w:rFonts w:ascii="Corbel" w:hAnsi="Corbel" w:cs="Arial"/>
          <w:sz w:val="22"/>
          <w:szCs w:val="22"/>
          <w:lang w:val="en-GB"/>
        </w:rPr>
        <w:t>transparency and</w:t>
      </w:r>
      <w:r w:rsidRPr="00127A02">
        <w:rPr>
          <w:rFonts w:ascii="Corbel" w:hAnsi="Corbel" w:cs="Arial"/>
          <w:sz w:val="22"/>
          <w:szCs w:val="22"/>
          <w:lang w:val="en-GB"/>
        </w:rPr>
        <w:t xml:space="preserve"> </w:t>
      </w:r>
      <w:r w:rsidR="00636F35">
        <w:rPr>
          <w:rFonts w:ascii="Corbel" w:hAnsi="Corbel" w:cs="Arial"/>
          <w:sz w:val="22"/>
          <w:szCs w:val="22"/>
          <w:lang w:val="en-GB"/>
        </w:rPr>
        <w:t>v</w:t>
      </w:r>
      <w:r w:rsidRPr="00127A02">
        <w:rPr>
          <w:rFonts w:ascii="Corbel" w:hAnsi="Corbel" w:cs="Arial"/>
          <w:sz w:val="22"/>
          <w:szCs w:val="22"/>
          <w:lang w:val="en-GB"/>
        </w:rPr>
        <w:t xml:space="preserve">oluntary </w:t>
      </w:r>
      <w:r w:rsidR="00636F35">
        <w:rPr>
          <w:rFonts w:ascii="Corbel" w:hAnsi="Corbel" w:cs="Arial"/>
          <w:sz w:val="22"/>
          <w:szCs w:val="22"/>
          <w:lang w:val="en-GB"/>
        </w:rPr>
        <w:t>c</w:t>
      </w:r>
      <w:r w:rsidRPr="00127A02">
        <w:rPr>
          <w:rFonts w:ascii="Corbel" w:hAnsi="Corbel" w:cs="Arial"/>
          <w:sz w:val="22"/>
          <w:szCs w:val="22"/>
          <w:lang w:val="en-GB"/>
        </w:rPr>
        <w:t xml:space="preserve">ompliance </w:t>
      </w:r>
      <w:r w:rsidR="00636F35">
        <w:rPr>
          <w:rFonts w:ascii="Corbel" w:hAnsi="Corbel" w:cs="Arial"/>
          <w:sz w:val="22"/>
          <w:szCs w:val="22"/>
          <w:lang w:val="en-GB"/>
        </w:rPr>
        <w:t xml:space="preserve">based on the analysis </w:t>
      </w:r>
      <w:r w:rsidR="00127A02" w:rsidRPr="00127A02">
        <w:rPr>
          <w:rFonts w:ascii="Corbel" w:hAnsi="Corbel" w:cs="Arial"/>
          <w:sz w:val="22"/>
          <w:szCs w:val="22"/>
          <w:lang w:val="en-GB"/>
        </w:rPr>
        <w:t>of potential exposure by border control agencies (Trade, Customs, Agricultures and Agencies in charge of non-tariff measures)</w:t>
      </w:r>
      <w:r w:rsidR="00AE4C57">
        <w:rPr>
          <w:rFonts w:ascii="Corbel" w:hAnsi="Corbel" w:cs="Arial"/>
          <w:sz w:val="22"/>
          <w:szCs w:val="22"/>
          <w:lang w:val="en-GB"/>
        </w:rPr>
        <w:t>.</w:t>
      </w:r>
    </w:p>
    <w:p w14:paraId="7F77246E" w14:textId="0236CDFA" w:rsidR="00A0585C" w:rsidRDefault="00CA60A4" w:rsidP="000168EC">
      <w:pPr>
        <w:pStyle w:val="ListParagraph"/>
        <w:numPr>
          <w:ilvl w:val="0"/>
          <w:numId w:val="19"/>
        </w:numPr>
        <w:tabs>
          <w:tab w:val="left" w:pos="360"/>
        </w:tabs>
        <w:spacing w:line="276" w:lineRule="auto"/>
        <w:jc w:val="both"/>
        <w:rPr>
          <w:rFonts w:ascii="Corbel" w:hAnsi="Corbel" w:cs="Arial"/>
          <w:sz w:val="22"/>
          <w:szCs w:val="22"/>
          <w:lang w:val="en-GB"/>
        </w:rPr>
      </w:pPr>
      <w:r>
        <w:rPr>
          <w:rFonts w:ascii="Corbel" w:hAnsi="Corbel" w:cs="Arial"/>
          <w:iCs/>
          <w:sz w:val="22"/>
          <w:szCs w:val="22"/>
          <w:lang w:val="en-GB"/>
        </w:rPr>
        <w:t>The</w:t>
      </w:r>
      <w:r w:rsidR="00672573" w:rsidRPr="00B84D6B">
        <w:rPr>
          <w:rFonts w:ascii="Corbel" w:hAnsi="Corbel" w:cs="Arial"/>
          <w:iCs/>
          <w:sz w:val="22"/>
          <w:szCs w:val="22"/>
          <w:lang w:val="en-GB"/>
        </w:rPr>
        <w:t xml:space="preserve"> operationalization of the </w:t>
      </w:r>
      <w:r w:rsidR="00BA0993">
        <w:rPr>
          <w:rFonts w:ascii="Corbel" w:hAnsi="Corbel" w:cs="Arial"/>
          <w:iCs/>
          <w:sz w:val="22"/>
          <w:szCs w:val="22"/>
          <w:lang w:val="en-GB"/>
        </w:rPr>
        <w:t>Arab</w:t>
      </w:r>
      <w:r w:rsidR="00672573" w:rsidRPr="00B84D6B">
        <w:rPr>
          <w:rFonts w:ascii="Corbel" w:hAnsi="Corbel" w:cs="Arial"/>
          <w:iCs/>
          <w:sz w:val="22"/>
          <w:szCs w:val="22"/>
          <w:lang w:val="en-GB"/>
        </w:rPr>
        <w:t xml:space="preserve"> Trade in Services</w:t>
      </w:r>
      <w:r w:rsidR="00BA0993">
        <w:rPr>
          <w:rFonts w:ascii="Corbel" w:hAnsi="Corbel" w:cs="Arial"/>
          <w:iCs/>
          <w:sz w:val="22"/>
          <w:szCs w:val="22"/>
          <w:lang w:val="en-GB"/>
        </w:rPr>
        <w:t xml:space="preserve"> Agreement</w:t>
      </w:r>
      <w:r w:rsidR="00672573" w:rsidRPr="00B84D6B">
        <w:rPr>
          <w:rFonts w:ascii="Corbel" w:hAnsi="Corbel" w:cs="Arial"/>
          <w:iCs/>
          <w:sz w:val="22"/>
          <w:szCs w:val="22"/>
          <w:lang w:val="en-GB"/>
        </w:rPr>
        <w:t xml:space="preserve">, facilitating the negotiations </w:t>
      </w:r>
      <w:r w:rsidR="002D1181">
        <w:rPr>
          <w:rFonts w:ascii="Corbel" w:hAnsi="Corbel" w:cs="Arial"/>
          <w:iCs/>
          <w:sz w:val="22"/>
          <w:szCs w:val="22"/>
          <w:lang w:val="en-GB"/>
        </w:rPr>
        <w:t>for</w:t>
      </w:r>
      <w:r w:rsidR="00672573" w:rsidRPr="00B84D6B">
        <w:rPr>
          <w:rFonts w:ascii="Corbel" w:hAnsi="Corbel" w:cs="Arial"/>
          <w:iCs/>
          <w:sz w:val="22"/>
          <w:szCs w:val="22"/>
          <w:lang w:val="en-GB"/>
        </w:rPr>
        <w:t xml:space="preserve"> the membership of Palestine, </w:t>
      </w:r>
      <w:r w:rsidR="002D1181">
        <w:rPr>
          <w:rFonts w:ascii="Corbel" w:hAnsi="Corbel" w:cs="Arial"/>
          <w:iCs/>
          <w:sz w:val="22"/>
          <w:szCs w:val="22"/>
          <w:lang w:val="en-GB"/>
        </w:rPr>
        <w:t>and the</w:t>
      </w:r>
      <w:r w:rsidR="00672573" w:rsidRPr="00B84D6B">
        <w:rPr>
          <w:rFonts w:ascii="Corbel" w:hAnsi="Corbel" w:cs="Arial"/>
          <w:iCs/>
          <w:sz w:val="22"/>
          <w:szCs w:val="22"/>
          <w:lang w:val="en-GB"/>
        </w:rPr>
        <w:t xml:space="preserve"> </w:t>
      </w:r>
      <w:r w:rsidR="002D1181">
        <w:rPr>
          <w:rFonts w:ascii="Corbel" w:hAnsi="Corbel" w:cs="Arial"/>
          <w:iCs/>
          <w:sz w:val="22"/>
          <w:szCs w:val="22"/>
          <w:lang w:val="en-GB"/>
        </w:rPr>
        <w:t xml:space="preserve">joint UNDP-UNCTAD </w:t>
      </w:r>
      <w:r w:rsidR="00672573" w:rsidRPr="00B84D6B">
        <w:rPr>
          <w:rFonts w:ascii="Corbel" w:hAnsi="Corbel" w:cs="Arial"/>
          <w:iCs/>
          <w:sz w:val="22"/>
          <w:szCs w:val="22"/>
          <w:lang w:val="en-GB"/>
        </w:rPr>
        <w:t xml:space="preserve">review of trade policies in three </w:t>
      </w:r>
      <w:r w:rsidR="002D1181">
        <w:rPr>
          <w:rFonts w:ascii="Corbel" w:hAnsi="Corbel" w:cs="Arial"/>
          <w:iCs/>
          <w:sz w:val="22"/>
          <w:szCs w:val="22"/>
          <w:lang w:val="en-GB"/>
        </w:rPr>
        <w:t xml:space="preserve">service </w:t>
      </w:r>
      <w:r w:rsidR="00672573" w:rsidRPr="00B84D6B">
        <w:rPr>
          <w:rFonts w:ascii="Corbel" w:hAnsi="Corbel" w:cs="Arial"/>
          <w:iCs/>
          <w:sz w:val="22"/>
          <w:szCs w:val="22"/>
          <w:lang w:val="en-GB"/>
        </w:rPr>
        <w:t xml:space="preserve">sectors </w:t>
      </w:r>
      <w:r w:rsidR="002D1181">
        <w:rPr>
          <w:rFonts w:ascii="Corbel" w:hAnsi="Corbel" w:cs="Arial"/>
          <w:iCs/>
          <w:sz w:val="22"/>
          <w:szCs w:val="22"/>
          <w:lang w:val="en-GB"/>
        </w:rPr>
        <w:t>in</w:t>
      </w:r>
      <w:r w:rsidR="00672573" w:rsidRPr="00B84D6B">
        <w:rPr>
          <w:rFonts w:ascii="Corbel" w:hAnsi="Corbel" w:cs="Arial"/>
          <w:iCs/>
          <w:sz w:val="22"/>
          <w:szCs w:val="22"/>
          <w:lang w:val="en-GB"/>
        </w:rPr>
        <w:t xml:space="preserve"> Morocco</w:t>
      </w:r>
      <w:r w:rsidR="00A0585C" w:rsidRPr="009758F1">
        <w:rPr>
          <w:rFonts w:ascii="Corbel" w:hAnsi="Corbel" w:cs="Arial"/>
          <w:sz w:val="22"/>
          <w:szCs w:val="22"/>
          <w:lang w:val="en-GB"/>
        </w:rPr>
        <w:t>.</w:t>
      </w:r>
      <w:r w:rsidR="00817F0A">
        <w:rPr>
          <w:rFonts w:ascii="Corbel" w:hAnsi="Corbel" w:cs="Arial"/>
          <w:sz w:val="22"/>
          <w:szCs w:val="22"/>
          <w:lang w:val="en-GB"/>
        </w:rPr>
        <w:t xml:space="preserve"> A case study on the </w:t>
      </w:r>
      <w:r w:rsidR="00BA0993">
        <w:rPr>
          <w:rFonts w:ascii="Corbel" w:hAnsi="Corbel" w:cs="Arial"/>
          <w:sz w:val="22"/>
          <w:szCs w:val="22"/>
          <w:lang w:val="en-GB"/>
        </w:rPr>
        <w:t xml:space="preserve">Arab Trade in Services Agreement is available in Annex </w:t>
      </w:r>
      <w:r w:rsidR="00280050">
        <w:rPr>
          <w:rFonts w:ascii="Corbel" w:hAnsi="Corbel" w:cs="Arial"/>
          <w:sz w:val="22"/>
          <w:szCs w:val="22"/>
          <w:lang w:val="en-GB"/>
        </w:rPr>
        <w:t>2.</w:t>
      </w:r>
    </w:p>
    <w:p w14:paraId="1D085B89" w14:textId="6827B365" w:rsidR="006C4455" w:rsidRDefault="006C4455" w:rsidP="000168EC">
      <w:pPr>
        <w:pStyle w:val="ListParagraph"/>
        <w:numPr>
          <w:ilvl w:val="0"/>
          <w:numId w:val="19"/>
        </w:numPr>
        <w:tabs>
          <w:tab w:val="left" w:pos="360"/>
        </w:tabs>
        <w:spacing w:line="276" w:lineRule="auto"/>
        <w:jc w:val="both"/>
        <w:rPr>
          <w:rFonts w:ascii="Corbel" w:hAnsi="Corbel" w:cs="Arial"/>
          <w:sz w:val="22"/>
          <w:szCs w:val="22"/>
          <w:lang w:val="en-GB"/>
        </w:rPr>
      </w:pPr>
      <w:r>
        <w:rPr>
          <w:rFonts w:ascii="Corbel" w:hAnsi="Corbel" w:cs="Arial"/>
          <w:sz w:val="22"/>
          <w:szCs w:val="22"/>
          <w:lang w:val="en-GB"/>
        </w:rPr>
        <w:t>The design of the Lebanon export promotion strate</w:t>
      </w:r>
      <w:r w:rsidR="000C5756">
        <w:rPr>
          <w:rFonts w:ascii="Corbel" w:hAnsi="Corbel" w:cs="Arial"/>
          <w:sz w:val="22"/>
          <w:szCs w:val="22"/>
          <w:lang w:val="en-GB"/>
        </w:rPr>
        <w:t>gy.</w:t>
      </w:r>
    </w:p>
    <w:p w14:paraId="41C32FA3" w14:textId="29462D54" w:rsidR="009A77C1" w:rsidRDefault="009A77C1" w:rsidP="000168EC">
      <w:pPr>
        <w:pStyle w:val="ListParagraph"/>
        <w:numPr>
          <w:ilvl w:val="0"/>
          <w:numId w:val="19"/>
        </w:numPr>
        <w:tabs>
          <w:tab w:val="left" w:pos="360"/>
        </w:tabs>
        <w:spacing w:line="276" w:lineRule="auto"/>
        <w:jc w:val="both"/>
        <w:rPr>
          <w:rFonts w:ascii="Corbel" w:hAnsi="Corbel" w:cs="Arial"/>
          <w:sz w:val="22"/>
          <w:szCs w:val="22"/>
          <w:lang w:val="en-GB"/>
        </w:rPr>
      </w:pPr>
      <w:r>
        <w:rPr>
          <w:rFonts w:ascii="Corbel" w:hAnsi="Corbel" w:cs="Arial"/>
          <w:sz w:val="22"/>
          <w:szCs w:val="22"/>
          <w:lang w:val="en-GB"/>
        </w:rPr>
        <w:t>Capacity development for</w:t>
      </w:r>
      <w:r w:rsidRPr="0011033F">
        <w:rPr>
          <w:rFonts w:ascii="Corbel" w:hAnsi="Corbel" w:cs="Arial"/>
          <w:sz w:val="22"/>
          <w:szCs w:val="22"/>
          <w:lang w:val="en-GB"/>
        </w:rPr>
        <w:t xml:space="preserve"> Iraqi trade negotiators </w:t>
      </w:r>
      <w:r>
        <w:rPr>
          <w:rFonts w:ascii="Corbel" w:hAnsi="Corbel" w:cs="Arial"/>
          <w:sz w:val="22"/>
          <w:szCs w:val="22"/>
          <w:lang w:val="en-GB"/>
        </w:rPr>
        <w:t>to strengthen the</w:t>
      </w:r>
      <w:r w:rsidRPr="0011033F">
        <w:rPr>
          <w:rFonts w:ascii="Corbel" w:hAnsi="Corbel" w:cs="Arial"/>
          <w:sz w:val="22"/>
          <w:szCs w:val="22"/>
          <w:lang w:val="en-GB"/>
        </w:rPr>
        <w:t xml:space="preserve"> understanding of WTO legal instruments</w:t>
      </w:r>
      <w:r>
        <w:rPr>
          <w:rFonts w:ascii="Corbel" w:hAnsi="Corbel" w:cs="Arial"/>
          <w:sz w:val="22"/>
          <w:szCs w:val="22"/>
          <w:lang w:val="en-GB"/>
        </w:rPr>
        <w:t>.</w:t>
      </w:r>
    </w:p>
    <w:p w14:paraId="024DEC56" w14:textId="77777777" w:rsidR="00763477" w:rsidRPr="00763477" w:rsidRDefault="00775E5C" w:rsidP="000168EC">
      <w:pPr>
        <w:pStyle w:val="ListParagraph"/>
        <w:numPr>
          <w:ilvl w:val="0"/>
          <w:numId w:val="19"/>
        </w:numPr>
        <w:tabs>
          <w:tab w:val="left" w:pos="360"/>
        </w:tabs>
        <w:spacing w:line="276" w:lineRule="auto"/>
        <w:jc w:val="both"/>
        <w:rPr>
          <w:rFonts w:ascii="Corbel" w:hAnsi="Corbel" w:cs="Arial"/>
          <w:sz w:val="22"/>
          <w:szCs w:val="22"/>
          <w:lang w:val="en-GB"/>
        </w:rPr>
      </w:pPr>
      <w:r w:rsidRPr="00F5517B">
        <w:rPr>
          <w:rFonts w:ascii="Corbel" w:hAnsi="Corbel" w:cs="Arial"/>
          <w:sz w:val="22"/>
          <w:szCs w:val="22"/>
          <w:lang w:val="en-US"/>
        </w:rPr>
        <w:t xml:space="preserve">The </w:t>
      </w:r>
      <w:r w:rsidR="007208B2">
        <w:rPr>
          <w:rFonts w:ascii="Corbel" w:hAnsi="Corbel" w:cs="Arial"/>
          <w:sz w:val="22"/>
          <w:szCs w:val="22"/>
          <w:lang w:val="en-US"/>
        </w:rPr>
        <w:t>establish</w:t>
      </w:r>
      <w:r w:rsidR="005F797C">
        <w:rPr>
          <w:rFonts w:ascii="Corbel" w:hAnsi="Corbel" w:cs="Arial"/>
          <w:sz w:val="22"/>
          <w:szCs w:val="22"/>
          <w:lang w:val="en-US"/>
        </w:rPr>
        <w:t xml:space="preserve">ment of a national </w:t>
      </w:r>
      <w:r w:rsidR="00B731BD">
        <w:rPr>
          <w:rFonts w:ascii="Corbel" w:hAnsi="Corbel" w:cs="Arial"/>
          <w:sz w:val="22"/>
          <w:szCs w:val="22"/>
          <w:lang w:val="en-US"/>
        </w:rPr>
        <w:t>single</w:t>
      </w:r>
      <w:r w:rsidR="005F797C">
        <w:rPr>
          <w:rFonts w:ascii="Corbel" w:hAnsi="Corbel" w:cs="Arial"/>
          <w:sz w:val="22"/>
          <w:szCs w:val="22"/>
          <w:lang w:val="en-US"/>
        </w:rPr>
        <w:t xml:space="preserve"> wind</w:t>
      </w:r>
      <w:r w:rsidR="00DB183E">
        <w:rPr>
          <w:rFonts w:ascii="Corbel" w:hAnsi="Corbel" w:cs="Arial"/>
          <w:sz w:val="22"/>
          <w:szCs w:val="22"/>
          <w:lang w:val="en-US"/>
        </w:rPr>
        <w:t>ow</w:t>
      </w:r>
      <w:r w:rsidR="00CD5E95">
        <w:rPr>
          <w:rFonts w:ascii="Corbel" w:hAnsi="Corbel" w:cs="Arial"/>
          <w:sz w:val="22"/>
          <w:szCs w:val="22"/>
          <w:lang w:val="en-US"/>
        </w:rPr>
        <w:t xml:space="preserve"> in Jordan,</w:t>
      </w:r>
      <w:r w:rsidR="003409F4" w:rsidRPr="003409F4">
        <w:rPr>
          <w:rFonts w:ascii="Corbel" w:eastAsia="MS Mincho" w:hAnsi="Corbel" w:cs="Arial"/>
          <w:sz w:val="22"/>
          <w:szCs w:val="22"/>
          <w:lang w:val="en-GB" w:eastAsia="ja-JP"/>
        </w:rPr>
        <w:t xml:space="preserve"> </w:t>
      </w:r>
      <w:r w:rsidR="003409F4">
        <w:rPr>
          <w:rFonts w:ascii="Corbel" w:eastAsia="MS Mincho" w:hAnsi="Corbel" w:cs="Arial"/>
          <w:sz w:val="22"/>
          <w:szCs w:val="22"/>
          <w:lang w:val="en-GB" w:eastAsia="ja-JP"/>
        </w:rPr>
        <w:t xml:space="preserve">enabling the </w:t>
      </w:r>
      <w:r w:rsidR="003409F4" w:rsidRPr="003409F4">
        <w:rPr>
          <w:rFonts w:ascii="Corbel" w:hAnsi="Corbel" w:cs="Arial"/>
          <w:sz w:val="22"/>
          <w:szCs w:val="22"/>
          <w:lang w:val="en-GB"/>
        </w:rPr>
        <w:t>pre-arrival clearance to expedite clearance</w:t>
      </w:r>
      <w:r w:rsidR="005F797C">
        <w:rPr>
          <w:rFonts w:ascii="Corbel" w:hAnsi="Corbel" w:cs="Arial"/>
          <w:sz w:val="22"/>
          <w:szCs w:val="22"/>
          <w:lang w:val="en-US"/>
        </w:rPr>
        <w:t xml:space="preserve"> </w:t>
      </w:r>
      <w:r w:rsidR="003409F4">
        <w:rPr>
          <w:rFonts w:ascii="Corbel" w:hAnsi="Corbel" w:cs="Arial"/>
          <w:sz w:val="22"/>
          <w:szCs w:val="22"/>
          <w:lang w:val="en-US"/>
        </w:rPr>
        <w:t>of merchan</w:t>
      </w:r>
      <w:r w:rsidR="003E70FF">
        <w:rPr>
          <w:rFonts w:ascii="Corbel" w:hAnsi="Corbel" w:cs="Arial"/>
          <w:sz w:val="22"/>
          <w:szCs w:val="22"/>
          <w:lang w:val="en-US"/>
        </w:rPr>
        <w:t xml:space="preserve">dise in the Aqaba port, </w:t>
      </w:r>
      <w:r w:rsidR="005F797C">
        <w:rPr>
          <w:rFonts w:ascii="Corbel" w:hAnsi="Corbel" w:cs="Arial"/>
          <w:sz w:val="22"/>
          <w:szCs w:val="22"/>
          <w:lang w:val="en-US"/>
        </w:rPr>
        <w:t xml:space="preserve">and the related </w:t>
      </w:r>
      <w:r w:rsidR="0029048F">
        <w:rPr>
          <w:rFonts w:ascii="Corbel" w:hAnsi="Corbel" w:cs="Arial"/>
          <w:sz w:val="22"/>
          <w:szCs w:val="22"/>
          <w:lang w:val="en-US"/>
        </w:rPr>
        <w:t>activation of a</w:t>
      </w:r>
      <w:r w:rsidRPr="00F5517B">
        <w:rPr>
          <w:rFonts w:ascii="Corbel" w:hAnsi="Corbel" w:cs="Arial"/>
          <w:sz w:val="22"/>
          <w:szCs w:val="22"/>
          <w:lang w:val="en-US"/>
        </w:rPr>
        <w:t xml:space="preserve"> digitalized Hub </w:t>
      </w:r>
      <w:r w:rsidR="0029048F">
        <w:rPr>
          <w:rFonts w:ascii="Corbel" w:hAnsi="Corbel" w:cs="Arial"/>
          <w:sz w:val="22"/>
          <w:szCs w:val="22"/>
          <w:lang w:val="en-US"/>
        </w:rPr>
        <w:t>for issuing</w:t>
      </w:r>
      <w:r w:rsidRPr="00F5517B">
        <w:rPr>
          <w:rFonts w:ascii="Corbel" w:hAnsi="Corbel" w:cs="Arial"/>
          <w:sz w:val="22"/>
          <w:szCs w:val="22"/>
          <w:lang w:val="en-US"/>
        </w:rPr>
        <w:t xml:space="preserve"> </w:t>
      </w:r>
      <w:r w:rsidR="0029048F">
        <w:rPr>
          <w:rFonts w:ascii="Corbel" w:hAnsi="Corbel" w:cs="Arial"/>
          <w:sz w:val="22"/>
          <w:szCs w:val="22"/>
          <w:lang w:val="en-US"/>
        </w:rPr>
        <w:t>t</w:t>
      </w:r>
      <w:r w:rsidRPr="00F5517B">
        <w:rPr>
          <w:rFonts w:ascii="Corbel" w:hAnsi="Corbel" w:cs="Arial"/>
          <w:sz w:val="22"/>
          <w:szCs w:val="22"/>
          <w:lang w:val="en-US"/>
        </w:rPr>
        <w:t>rade license</w:t>
      </w:r>
      <w:r w:rsidR="003E70FF">
        <w:rPr>
          <w:rFonts w:ascii="Corbel" w:hAnsi="Corbel" w:cs="Arial"/>
          <w:sz w:val="22"/>
          <w:szCs w:val="22"/>
          <w:lang w:val="en-US"/>
        </w:rPr>
        <w:t>s</w:t>
      </w:r>
      <w:r w:rsidR="009D563F">
        <w:rPr>
          <w:rFonts w:ascii="Corbel" w:hAnsi="Corbel" w:cs="Arial"/>
          <w:sz w:val="22"/>
          <w:szCs w:val="22"/>
          <w:lang w:val="en-US"/>
        </w:rPr>
        <w:t>.</w:t>
      </w:r>
    </w:p>
    <w:p w14:paraId="415E7593" w14:textId="07E549D4" w:rsidR="009338D2" w:rsidRPr="00763477" w:rsidRDefault="009338D2" w:rsidP="000168EC">
      <w:pPr>
        <w:pStyle w:val="ListParagraph"/>
        <w:numPr>
          <w:ilvl w:val="1"/>
          <w:numId w:val="19"/>
        </w:numPr>
        <w:tabs>
          <w:tab w:val="left" w:pos="360"/>
        </w:tabs>
        <w:spacing w:line="276" w:lineRule="auto"/>
        <w:jc w:val="both"/>
        <w:rPr>
          <w:rFonts w:ascii="Corbel" w:hAnsi="Corbel" w:cs="Arial"/>
          <w:sz w:val="22"/>
          <w:szCs w:val="22"/>
          <w:lang w:val="en-GB"/>
        </w:rPr>
      </w:pPr>
      <w:r w:rsidRPr="00763477">
        <w:rPr>
          <w:rFonts w:ascii="Corbel" w:hAnsi="Corbel" w:cs="Arial"/>
          <w:sz w:val="22"/>
          <w:szCs w:val="22"/>
        </w:rPr>
        <w:t>Lessons learned fro</w:t>
      </w:r>
      <w:r w:rsidR="00C01ADF" w:rsidRPr="00763477">
        <w:rPr>
          <w:rFonts w:ascii="Corbel" w:hAnsi="Corbel" w:cs="Arial"/>
          <w:sz w:val="22"/>
          <w:szCs w:val="22"/>
        </w:rPr>
        <w:t xml:space="preserve">m this exercise were transferred to the Palestinian </w:t>
      </w:r>
      <w:r w:rsidR="00917AE3" w:rsidRPr="00763477">
        <w:rPr>
          <w:rFonts w:ascii="Corbel" w:hAnsi="Corbel" w:cs="Arial"/>
          <w:sz w:val="22"/>
          <w:szCs w:val="22"/>
        </w:rPr>
        <w:t xml:space="preserve">Customs through a capacity development exercise. </w:t>
      </w:r>
    </w:p>
    <w:p w14:paraId="38954A5B" w14:textId="02705A11" w:rsidR="00924DC4" w:rsidRDefault="009D563F" w:rsidP="000168EC">
      <w:pPr>
        <w:pStyle w:val="ListParagraph"/>
        <w:numPr>
          <w:ilvl w:val="0"/>
          <w:numId w:val="19"/>
        </w:numPr>
        <w:tabs>
          <w:tab w:val="left" w:pos="360"/>
        </w:tabs>
        <w:spacing w:line="276" w:lineRule="auto"/>
        <w:jc w:val="both"/>
        <w:rPr>
          <w:rFonts w:ascii="Corbel" w:hAnsi="Corbel" w:cs="Arial"/>
          <w:sz w:val="22"/>
          <w:szCs w:val="22"/>
          <w:lang w:val="en-GB"/>
        </w:rPr>
      </w:pPr>
      <w:r w:rsidRPr="4F6DD0A6">
        <w:rPr>
          <w:rFonts w:ascii="Corbel" w:hAnsi="Corbel" w:cs="Arial"/>
          <w:sz w:val="22"/>
          <w:szCs w:val="22"/>
          <w:lang w:val="en-GB"/>
        </w:rPr>
        <w:lastRenderedPageBreak/>
        <w:t>The identification of national trade policies that require updates, such as e-Commerce</w:t>
      </w:r>
      <w:r w:rsidR="00924DC4" w:rsidRPr="4F6DD0A6">
        <w:rPr>
          <w:rFonts w:ascii="Corbel" w:hAnsi="Corbel" w:cs="Arial"/>
          <w:sz w:val="22"/>
          <w:szCs w:val="22"/>
          <w:lang w:val="en-GB"/>
        </w:rPr>
        <w:t>, including:</w:t>
      </w:r>
    </w:p>
    <w:p w14:paraId="334C0659" w14:textId="4435D4E5" w:rsidR="009D563F" w:rsidRDefault="00924DC4" w:rsidP="000168EC">
      <w:pPr>
        <w:pStyle w:val="ListParagraph"/>
        <w:numPr>
          <w:ilvl w:val="1"/>
          <w:numId w:val="19"/>
        </w:numPr>
        <w:tabs>
          <w:tab w:val="left" w:pos="360"/>
        </w:tabs>
        <w:spacing w:line="276" w:lineRule="auto"/>
        <w:jc w:val="both"/>
        <w:rPr>
          <w:rFonts w:ascii="Corbel" w:hAnsi="Corbel" w:cs="Arial"/>
          <w:sz w:val="22"/>
          <w:szCs w:val="22"/>
          <w:lang w:val="en-GB"/>
        </w:rPr>
      </w:pPr>
      <w:r>
        <w:rPr>
          <w:rFonts w:ascii="Corbel" w:hAnsi="Corbel" w:cs="Arial"/>
          <w:sz w:val="22"/>
          <w:szCs w:val="22"/>
          <w:lang w:val="en-GB"/>
        </w:rPr>
        <w:t>The</w:t>
      </w:r>
      <w:r w:rsidR="009D563F" w:rsidRPr="00642F74">
        <w:rPr>
          <w:rFonts w:ascii="Corbel" w:hAnsi="Corbel" w:cs="Arial"/>
          <w:sz w:val="22"/>
          <w:szCs w:val="22"/>
          <w:lang w:val="en-GB"/>
        </w:rPr>
        <w:t xml:space="preserve"> analysis of </w:t>
      </w:r>
      <w:r w:rsidR="009D563F">
        <w:rPr>
          <w:rFonts w:ascii="Corbel" w:hAnsi="Corbel" w:cs="Arial"/>
          <w:sz w:val="22"/>
          <w:szCs w:val="22"/>
          <w:lang w:val="en-GB"/>
        </w:rPr>
        <w:t xml:space="preserve">the </w:t>
      </w:r>
      <w:r w:rsidR="009D563F" w:rsidRPr="00642F74">
        <w:rPr>
          <w:rFonts w:ascii="Corbel" w:hAnsi="Corbel" w:cs="Arial"/>
          <w:sz w:val="22"/>
          <w:szCs w:val="22"/>
          <w:lang w:val="en-GB"/>
        </w:rPr>
        <w:t xml:space="preserve">legal foundations for e-Commerce </w:t>
      </w:r>
      <w:r w:rsidR="009D563F">
        <w:rPr>
          <w:rFonts w:ascii="Corbel" w:hAnsi="Corbel" w:cs="Arial"/>
          <w:sz w:val="22"/>
          <w:szCs w:val="22"/>
          <w:lang w:val="en-GB"/>
        </w:rPr>
        <w:t>in</w:t>
      </w:r>
      <w:r w:rsidR="009D563F" w:rsidRPr="00642F74">
        <w:rPr>
          <w:rFonts w:ascii="Corbel" w:hAnsi="Corbel" w:cs="Arial"/>
          <w:sz w:val="22"/>
          <w:szCs w:val="22"/>
          <w:lang w:val="en-GB"/>
        </w:rPr>
        <w:t xml:space="preserve"> Lebanon prepared with the Lebanese Customs</w:t>
      </w:r>
      <w:r w:rsidR="009D563F">
        <w:rPr>
          <w:rFonts w:ascii="Corbel" w:hAnsi="Corbel" w:cs="Arial"/>
          <w:sz w:val="22"/>
          <w:szCs w:val="22"/>
          <w:lang w:val="en-GB"/>
        </w:rPr>
        <w:t>.</w:t>
      </w:r>
    </w:p>
    <w:p w14:paraId="60351B8C" w14:textId="7E693616" w:rsidR="00510D0C" w:rsidRDefault="00510D0C" w:rsidP="000168EC">
      <w:pPr>
        <w:pStyle w:val="ListParagraph"/>
        <w:numPr>
          <w:ilvl w:val="1"/>
          <w:numId w:val="19"/>
        </w:numPr>
        <w:tabs>
          <w:tab w:val="left" w:pos="360"/>
        </w:tabs>
        <w:spacing w:line="276" w:lineRule="auto"/>
        <w:jc w:val="both"/>
        <w:rPr>
          <w:rFonts w:ascii="Corbel" w:hAnsi="Corbel" w:cs="Arial"/>
          <w:sz w:val="22"/>
          <w:szCs w:val="22"/>
          <w:lang w:val="en-GB"/>
        </w:rPr>
      </w:pPr>
      <w:r>
        <w:rPr>
          <w:rFonts w:ascii="Corbel" w:hAnsi="Corbel" w:cs="Arial"/>
          <w:sz w:val="22"/>
          <w:szCs w:val="22"/>
          <w:lang w:val="en-GB"/>
        </w:rPr>
        <w:t xml:space="preserve">The initiative of an </w:t>
      </w:r>
      <w:r w:rsidRPr="00AB520A">
        <w:rPr>
          <w:rFonts w:ascii="Corbel" w:hAnsi="Corbel" w:cs="Arial"/>
          <w:sz w:val="22"/>
          <w:szCs w:val="22"/>
          <w:lang w:val="en-GB"/>
        </w:rPr>
        <w:t>Export Promotion</w:t>
      </w:r>
      <w:r>
        <w:rPr>
          <w:rFonts w:ascii="Corbel" w:hAnsi="Corbel" w:cs="Arial"/>
          <w:sz w:val="22"/>
          <w:szCs w:val="22"/>
          <w:lang w:val="en-GB"/>
        </w:rPr>
        <w:t xml:space="preserve"> strategy in Lebanon</w:t>
      </w:r>
    </w:p>
    <w:p w14:paraId="65995F42" w14:textId="20C5FDE6" w:rsidR="00924DC4" w:rsidRPr="00B31EDF" w:rsidRDefault="00924DC4" w:rsidP="000168EC">
      <w:pPr>
        <w:pStyle w:val="ListParagraph"/>
        <w:numPr>
          <w:ilvl w:val="1"/>
          <w:numId w:val="19"/>
        </w:numPr>
        <w:tabs>
          <w:tab w:val="left" w:pos="360"/>
        </w:tabs>
        <w:spacing w:line="276" w:lineRule="auto"/>
        <w:jc w:val="both"/>
        <w:rPr>
          <w:rFonts w:ascii="Corbel" w:hAnsi="Corbel" w:cs="Arial"/>
          <w:sz w:val="22"/>
          <w:szCs w:val="22"/>
          <w:lang w:val="en-GB"/>
        </w:rPr>
      </w:pPr>
      <w:r>
        <w:rPr>
          <w:rFonts w:ascii="Corbel" w:hAnsi="Corbel" w:cs="Arial"/>
          <w:sz w:val="22"/>
          <w:szCs w:val="22"/>
          <w:lang w:val="en-GB"/>
        </w:rPr>
        <w:t>T</w:t>
      </w:r>
      <w:r w:rsidRPr="00AB520A">
        <w:rPr>
          <w:rFonts w:ascii="Corbel" w:hAnsi="Corbel" w:cs="Arial"/>
          <w:sz w:val="22"/>
          <w:szCs w:val="22"/>
          <w:lang w:val="en-GB"/>
        </w:rPr>
        <w:t xml:space="preserve">he review of </w:t>
      </w:r>
      <w:r w:rsidR="00AE3EF0">
        <w:rPr>
          <w:rFonts w:ascii="Corbel" w:hAnsi="Corbel" w:cs="Arial"/>
          <w:sz w:val="22"/>
          <w:szCs w:val="22"/>
          <w:lang w:val="en-GB"/>
        </w:rPr>
        <w:t xml:space="preserve">the efficiency of the </w:t>
      </w:r>
      <w:r w:rsidR="00DB183E">
        <w:rPr>
          <w:rFonts w:ascii="Corbel" w:hAnsi="Corbel" w:cs="Arial"/>
          <w:sz w:val="22"/>
          <w:szCs w:val="22"/>
          <w:lang w:val="en-GB"/>
        </w:rPr>
        <w:t xml:space="preserve">Moroccan </w:t>
      </w:r>
      <w:r w:rsidR="00AE3EF0">
        <w:rPr>
          <w:rFonts w:ascii="Corbel" w:hAnsi="Corbel" w:cs="Arial"/>
          <w:sz w:val="22"/>
          <w:szCs w:val="22"/>
          <w:lang w:val="en-GB"/>
        </w:rPr>
        <w:t xml:space="preserve">national single window </w:t>
      </w:r>
      <w:proofErr w:type="spellStart"/>
      <w:r w:rsidRPr="00AB520A">
        <w:rPr>
          <w:rFonts w:ascii="Corbel" w:hAnsi="Corbel" w:cs="Arial"/>
          <w:sz w:val="22"/>
          <w:szCs w:val="22"/>
          <w:lang w:val="en-GB"/>
        </w:rPr>
        <w:t>PortNet</w:t>
      </w:r>
      <w:proofErr w:type="spellEnd"/>
      <w:r w:rsidR="00AE3EF0">
        <w:rPr>
          <w:rFonts w:ascii="Corbel" w:hAnsi="Corbel" w:cs="Arial"/>
          <w:sz w:val="22"/>
          <w:szCs w:val="22"/>
          <w:lang w:val="en-GB"/>
        </w:rPr>
        <w:t>.</w:t>
      </w:r>
    </w:p>
    <w:p w14:paraId="1350F1D1" w14:textId="73273E25" w:rsidR="00AB520A" w:rsidRDefault="00B31EDF" w:rsidP="000168EC">
      <w:pPr>
        <w:pStyle w:val="ListParagraph"/>
        <w:numPr>
          <w:ilvl w:val="0"/>
          <w:numId w:val="19"/>
        </w:numPr>
        <w:tabs>
          <w:tab w:val="left" w:pos="360"/>
        </w:tabs>
        <w:spacing w:line="276" w:lineRule="auto"/>
        <w:jc w:val="both"/>
        <w:rPr>
          <w:rFonts w:ascii="Corbel" w:hAnsi="Corbel" w:cs="Arial"/>
          <w:sz w:val="22"/>
          <w:szCs w:val="22"/>
          <w:lang w:val="en-GB"/>
        </w:rPr>
      </w:pPr>
      <w:r>
        <w:rPr>
          <w:rFonts w:ascii="Corbel" w:hAnsi="Corbel" w:cs="Arial"/>
          <w:sz w:val="22"/>
          <w:szCs w:val="22"/>
          <w:lang w:val="en-US"/>
        </w:rPr>
        <w:t>The</w:t>
      </w:r>
      <w:r w:rsidR="00B64D18" w:rsidRPr="00F5517B">
        <w:rPr>
          <w:rFonts w:ascii="Corbel" w:hAnsi="Corbel" w:cs="Arial"/>
          <w:sz w:val="22"/>
          <w:szCs w:val="22"/>
          <w:lang w:val="en-US"/>
        </w:rPr>
        <w:t xml:space="preserve"> </w:t>
      </w:r>
      <w:r w:rsidR="00F95D95">
        <w:rPr>
          <w:rFonts w:ascii="Corbel" w:hAnsi="Corbel" w:cs="Arial"/>
          <w:sz w:val="22"/>
          <w:szCs w:val="22"/>
          <w:lang w:val="en-US"/>
        </w:rPr>
        <w:t xml:space="preserve">pilot </w:t>
      </w:r>
      <w:r w:rsidR="00B64D18" w:rsidRPr="00F5517B">
        <w:rPr>
          <w:rFonts w:ascii="Corbel" w:hAnsi="Corbel" w:cs="Arial"/>
          <w:sz w:val="22"/>
          <w:szCs w:val="22"/>
          <w:lang w:val="en-US"/>
        </w:rPr>
        <w:t>support</w:t>
      </w:r>
      <w:r w:rsidR="00F95D95">
        <w:rPr>
          <w:rFonts w:ascii="Corbel" w:hAnsi="Corbel" w:cs="Arial"/>
          <w:sz w:val="22"/>
          <w:szCs w:val="22"/>
          <w:lang w:val="en-US"/>
        </w:rPr>
        <w:t>ing</w:t>
      </w:r>
      <w:r w:rsidR="00171004" w:rsidRPr="00F5517B">
        <w:rPr>
          <w:rFonts w:ascii="Corbel" w:hAnsi="Corbel" w:cs="Arial"/>
          <w:sz w:val="22"/>
          <w:szCs w:val="22"/>
          <w:lang w:val="en-US"/>
        </w:rPr>
        <w:t xml:space="preserve"> Moroccan</w:t>
      </w:r>
      <w:r w:rsidR="00171004" w:rsidRPr="00F5517B">
        <w:rPr>
          <w:rFonts w:ascii="Corbel" w:hAnsi="Corbel" w:cs="Arial"/>
          <w:sz w:val="22"/>
          <w:szCs w:val="22"/>
          <w:lang w:val="vi-VN"/>
        </w:rPr>
        <w:t xml:space="preserve"> Arg</w:t>
      </w:r>
      <w:r w:rsidR="00AD0474" w:rsidRPr="00F5517B">
        <w:rPr>
          <w:rFonts w:ascii="Corbel" w:hAnsi="Corbel" w:cs="Arial"/>
          <w:sz w:val="22"/>
          <w:szCs w:val="22"/>
          <w:lang w:val="en-US"/>
        </w:rPr>
        <w:t xml:space="preserve">an oil </w:t>
      </w:r>
      <w:r w:rsidR="00171004" w:rsidRPr="00F5517B">
        <w:rPr>
          <w:rFonts w:ascii="Corbel" w:hAnsi="Corbel" w:cs="Arial"/>
          <w:sz w:val="22"/>
          <w:szCs w:val="22"/>
          <w:lang w:val="en-US"/>
        </w:rPr>
        <w:t>cooperatives</w:t>
      </w:r>
      <w:r w:rsidR="00AD0474" w:rsidRPr="00F5517B">
        <w:rPr>
          <w:rFonts w:ascii="Corbel" w:hAnsi="Corbel" w:cs="Arial"/>
          <w:sz w:val="22"/>
          <w:szCs w:val="22"/>
          <w:lang w:val="en-US"/>
        </w:rPr>
        <w:t xml:space="preserve">, operated by women, </w:t>
      </w:r>
      <w:r w:rsidR="002C4971">
        <w:rPr>
          <w:rFonts w:ascii="Corbel" w:hAnsi="Corbel" w:cs="Arial"/>
          <w:sz w:val="22"/>
          <w:szCs w:val="22"/>
          <w:lang w:val="en-US"/>
        </w:rPr>
        <w:t xml:space="preserve">and </w:t>
      </w:r>
      <w:r w:rsidR="00B731BD">
        <w:rPr>
          <w:rFonts w:ascii="Corbel" w:hAnsi="Corbel" w:cs="Arial"/>
          <w:sz w:val="22"/>
          <w:szCs w:val="22"/>
          <w:lang w:val="en-US"/>
        </w:rPr>
        <w:t>Lebanese</w:t>
      </w:r>
      <w:r w:rsidR="002C4971">
        <w:rPr>
          <w:rFonts w:ascii="Corbel" w:hAnsi="Corbel" w:cs="Arial"/>
          <w:sz w:val="22"/>
          <w:szCs w:val="22"/>
          <w:lang w:val="en-US"/>
        </w:rPr>
        <w:t xml:space="preserve"> </w:t>
      </w:r>
      <w:proofErr w:type="spellStart"/>
      <w:r w:rsidR="002C4971">
        <w:rPr>
          <w:rFonts w:ascii="Corbel" w:hAnsi="Corbel" w:cs="Arial"/>
          <w:sz w:val="22"/>
          <w:szCs w:val="22"/>
          <w:lang w:val="en-US"/>
        </w:rPr>
        <w:t>agro</w:t>
      </w:r>
      <w:proofErr w:type="spellEnd"/>
      <w:r w:rsidR="002C4971">
        <w:rPr>
          <w:rFonts w:ascii="Corbel" w:hAnsi="Corbel" w:cs="Arial"/>
          <w:sz w:val="22"/>
          <w:szCs w:val="22"/>
          <w:lang w:val="en-US"/>
        </w:rPr>
        <w:t xml:space="preserve">-food </w:t>
      </w:r>
      <w:r w:rsidR="00AD0474" w:rsidRPr="00F5517B">
        <w:rPr>
          <w:rFonts w:ascii="Corbel" w:hAnsi="Corbel" w:cs="Arial"/>
          <w:sz w:val="22"/>
          <w:szCs w:val="22"/>
          <w:lang w:val="en-US"/>
        </w:rPr>
        <w:t xml:space="preserve">SMEs </w:t>
      </w:r>
      <w:r w:rsidR="002C4971">
        <w:rPr>
          <w:rFonts w:ascii="Corbel" w:hAnsi="Corbel" w:cs="Arial"/>
          <w:sz w:val="22"/>
          <w:szCs w:val="22"/>
          <w:lang w:val="en-US"/>
        </w:rPr>
        <w:t>to access US</w:t>
      </w:r>
      <w:r w:rsidR="00AD0474" w:rsidRPr="00F5517B">
        <w:rPr>
          <w:rFonts w:ascii="Corbel" w:hAnsi="Corbel" w:cs="Arial"/>
          <w:sz w:val="22"/>
          <w:szCs w:val="22"/>
          <w:lang w:val="en-US"/>
        </w:rPr>
        <w:t xml:space="preserve"> market</w:t>
      </w:r>
      <w:r w:rsidR="002C4971">
        <w:rPr>
          <w:rFonts w:ascii="Corbel" w:hAnsi="Corbel" w:cs="Arial"/>
          <w:sz w:val="22"/>
          <w:szCs w:val="22"/>
          <w:lang w:val="en-US"/>
        </w:rPr>
        <w:t>s</w:t>
      </w:r>
      <w:r w:rsidR="007D5CE2" w:rsidRPr="00F5517B">
        <w:rPr>
          <w:rFonts w:ascii="Corbel" w:hAnsi="Corbel" w:cs="Arial"/>
          <w:sz w:val="22"/>
          <w:szCs w:val="22"/>
          <w:lang w:val="en-GB"/>
        </w:rPr>
        <w:t>.</w:t>
      </w:r>
      <w:r w:rsidR="00171004" w:rsidRPr="00F5517B">
        <w:rPr>
          <w:rFonts w:ascii="Corbel" w:hAnsi="Corbel" w:cs="Arial"/>
          <w:sz w:val="22"/>
          <w:szCs w:val="22"/>
          <w:lang w:val="vi-VN"/>
        </w:rPr>
        <w:t xml:space="preserve"> </w:t>
      </w:r>
    </w:p>
    <w:p w14:paraId="1E3AA087" w14:textId="22E1CD86" w:rsidR="006F7E14" w:rsidRPr="00AC29A8" w:rsidRDefault="006B739A" w:rsidP="000168EC">
      <w:pPr>
        <w:pStyle w:val="ListParagraph"/>
        <w:numPr>
          <w:ilvl w:val="0"/>
          <w:numId w:val="19"/>
        </w:numPr>
        <w:tabs>
          <w:tab w:val="left" w:pos="360"/>
        </w:tabs>
        <w:spacing w:line="276" w:lineRule="auto"/>
        <w:jc w:val="both"/>
        <w:rPr>
          <w:rFonts w:ascii="Corbel" w:hAnsi="Corbel" w:cs="Arial"/>
          <w:sz w:val="22"/>
          <w:szCs w:val="22"/>
          <w:lang w:val="en-GB"/>
        </w:rPr>
      </w:pPr>
      <w:r w:rsidRPr="00AC29A8">
        <w:rPr>
          <w:rFonts w:ascii="Corbel" w:hAnsi="Corbel" w:cs="Arial"/>
          <w:sz w:val="22"/>
          <w:szCs w:val="22"/>
          <w:lang w:val="en-GB"/>
        </w:rPr>
        <w:t>An analysis of the impact</w:t>
      </w:r>
      <w:r w:rsidR="006F7E14" w:rsidRPr="00AC29A8">
        <w:rPr>
          <w:rFonts w:ascii="Corbel" w:hAnsi="Corbel" w:cs="Arial"/>
          <w:sz w:val="22"/>
          <w:szCs w:val="22"/>
          <w:lang w:val="en-GB"/>
        </w:rPr>
        <w:t xml:space="preserve"> of preferential trade agreements </w:t>
      </w:r>
      <w:r w:rsidRPr="00AC29A8">
        <w:rPr>
          <w:rFonts w:ascii="Corbel" w:hAnsi="Corbel" w:cs="Arial"/>
          <w:sz w:val="22"/>
          <w:szCs w:val="22"/>
          <w:lang w:val="en-GB"/>
        </w:rPr>
        <w:t>on the</w:t>
      </w:r>
      <w:r w:rsidR="006F7E14" w:rsidRPr="00AC29A8">
        <w:rPr>
          <w:rFonts w:ascii="Corbel" w:hAnsi="Corbel" w:cs="Arial"/>
          <w:sz w:val="22"/>
          <w:szCs w:val="22"/>
          <w:lang w:val="en-GB"/>
        </w:rPr>
        <w:t xml:space="preserve"> economic empowerment of women in the region</w:t>
      </w:r>
      <w:r w:rsidRPr="00AC29A8">
        <w:rPr>
          <w:rFonts w:ascii="Corbel" w:hAnsi="Corbel" w:cs="Arial"/>
          <w:sz w:val="22"/>
          <w:szCs w:val="22"/>
          <w:lang w:val="en-GB"/>
        </w:rPr>
        <w:t xml:space="preserve">, which revealed </w:t>
      </w:r>
      <w:r w:rsidR="00CB21F9" w:rsidRPr="00AC29A8">
        <w:rPr>
          <w:rFonts w:ascii="Corbel" w:hAnsi="Corbel" w:cs="Arial"/>
          <w:sz w:val="22"/>
          <w:szCs w:val="22"/>
          <w:lang w:val="en-GB"/>
        </w:rPr>
        <w:t xml:space="preserve">the need to enhance </w:t>
      </w:r>
      <w:r w:rsidR="00E3330A" w:rsidRPr="00AC29A8">
        <w:rPr>
          <w:rFonts w:ascii="Corbel" w:hAnsi="Corbel" w:cs="Arial"/>
          <w:sz w:val="22"/>
          <w:szCs w:val="22"/>
          <w:lang w:val="en-GB"/>
        </w:rPr>
        <w:t xml:space="preserve">the </w:t>
      </w:r>
      <w:r w:rsidR="00CF4F59" w:rsidRPr="00AC29A8">
        <w:rPr>
          <w:rFonts w:ascii="Corbel" w:hAnsi="Corbel" w:cs="Arial"/>
          <w:sz w:val="22"/>
          <w:szCs w:val="22"/>
          <w:lang w:val="en-GB"/>
        </w:rPr>
        <w:t>participation</w:t>
      </w:r>
      <w:r w:rsidR="00E3330A" w:rsidRPr="00AC29A8">
        <w:rPr>
          <w:rFonts w:ascii="Corbel" w:hAnsi="Corbel" w:cs="Arial"/>
          <w:sz w:val="22"/>
          <w:szCs w:val="22"/>
          <w:lang w:val="en-GB"/>
        </w:rPr>
        <w:t xml:space="preserve"> of </w:t>
      </w:r>
      <w:r w:rsidR="00CB21F9" w:rsidRPr="00AC29A8">
        <w:rPr>
          <w:rFonts w:ascii="Corbel" w:hAnsi="Corbel" w:cs="Arial"/>
          <w:sz w:val="22"/>
          <w:szCs w:val="22"/>
          <w:lang w:val="en-GB"/>
        </w:rPr>
        <w:t xml:space="preserve">women, especially women </w:t>
      </w:r>
      <w:r w:rsidR="00CF4F59" w:rsidRPr="00AC29A8">
        <w:rPr>
          <w:rFonts w:ascii="Corbel" w:hAnsi="Corbel" w:cs="Arial"/>
          <w:sz w:val="22"/>
          <w:szCs w:val="22"/>
          <w:lang w:val="en-GB"/>
        </w:rPr>
        <w:t>entrepreneurs,</w:t>
      </w:r>
      <w:r w:rsidR="00E3330A" w:rsidRPr="00AC29A8">
        <w:rPr>
          <w:rFonts w:ascii="Corbel" w:hAnsi="Corbel" w:cs="Arial"/>
          <w:sz w:val="22"/>
          <w:szCs w:val="22"/>
          <w:lang w:val="en-GB"/>
        </w:rPr>
        <w:t xml:space="preserve"> in the review of </w:t>
      </w:r>
      <w:r w:rsidR="00F07730" w:rsidRPr="00AC29A8">
        <w:rPr>
          <w:rFonts w:ascii="Corbel" w:hAnsi="Corbel" w:cs="Arial"/>
          <w:sz w:val="22"/>
          <w:szCs w:val="22"/>
          <w:lang w:val="en-GB"/>
        </w:rPr>
        <w:t xml:space="preserve">commitments </w:t>
      </w:r>
      <w:r w:rsidR="000A1A09" w:rsidRPr="00AC29A8">
        <w:rPr>
          <w:rFonts w:ascii="Corbel" w:hAnsi="Corbel" w:cs="Arial"/>
          <w:sz w:val="22"/>
          <w:szCs w:val="22"/>
          <w:lang w:val="en-GB"/>
        </w:rPr>
        <w:t>under regional</w:t>
      </w:r>
      <w:r w:rsidR="00F07730" w:rsidRPr="00AC29A8">
        <w:rPr>
          <w:rFonts w:ascii="Corbel" w:hAnsi="Corbel" w:cs="Arial"/>
          <w:sz w:val="22"/>
          <w:szCs w:val="22"/>
          <w:lang w:val="en-GB"/>
        </w:rPr>
        <w:t xml:space="preserve"> </w:t>
      </w:r>
      <w:r w:rsidR="000A1A09" w:rsidRPr="00AC29A8">
        <w:rPr>
          <w:rFonts w:ascii="Corbel" w:hAnsi="Corbel" w:cs="Arial"/>
          <w:sz w:val="22"/>
          <w:szCs w:val="22"/>
          <w:lang w:val="en-GB"/>
        </w:rPr>
        <w:t xml:space="preserve">trade </w:t>
      </w:r>
      <w:r w:rsidR="00F07730" w:rsidRPr="00AC29A8">
        <w:rPr>
          <w:rFonts w:ascii="Corbel" w:hAnsi="Corbel" w:cs="Arial"/>
          <w:sz w:val="22"/>
          <w:szCs w:val="22"/>
          <w:lang w:val="en-GB"/>
        </w:rPr>
        <w:t>agreeme</w:t>
      </w:r>
      <w:r w:rsidR="000A1A09" w:rsidRPr="00AC29A8">
        <w:rPr>
          <w:rFonts w:ascii="Corbel" w:hAnsi="Corbel" w:cs="Arial"/>
          <w:sz w:val="22"/>
          <w:szCs w:val="22"/>
          <w:lang w:val="en-GB"/>
        </w:rPr>
        <w:t>n</w:t>
      </w:r>
      <w:r w:rsidR="00F07730" w:rsidRPr="00AC29A8">
        <w:rPr>
          <w:rFonts w:ascii="Corbel" w:hAnsi="Corbel" w:cs="Arial"/>
          <w:sz w:val="22"/>
          <w:szCs w:val="22"/>
          <w:lang w:val="en-GB"/>
        </w:rPr>
        <w:t>ts</w:t>
      </w:r>
      <w:r w:rsidR="00E3330A" w:rsidRPr="00AC29A8">
        <w:rPr>
          <w:rFonts w:ascii="Corbel" w:hAnsi="Corbel" w:cs="Arial"/>
          <w:sz w:val="22"/>
          <w:szCs w:val="22"/>
          <w:lang w:val="en-GB"/>
        </w:rPr>
        <w:t>, which</w:t>
      </w:r>
      <w:r w:rsidR="00F07730" w:rsidRPr="00AC29A8">
        <w:rPr>
          <w:rFonts w:ascii="Corbel" w:hAnsi="Corbel" w:cs="Arial"/>
          <w:sz w:val="22"/>
          <w:szCs w:val="22"/>
          <w:lang w:val="en-GB"/>
        </w:rPr>
        <w:t xml:space="preserve"> are </w:t>
      </w:r>
      <w:r w:rsidR="00E3330A" w:rsidRPr="00AC29A8">
        <w:rPr>
          <w:rFonts w:ascii="Corbel" w:hAnsi="Corbel" w:cs="Arial"/>
          <w:sz w:val="22"/>
          <w:szCs w:val="22"/>
          <w:lang w:val="en-GB"/>
        </w:rPr>
        <w:t xml:space="preserve">currently </w:t>
      </w:r>
      <w:r w:rsidR="00F07730" w:rsidRPr="00AC29A8">
        <w:rPr>
          <w:rFonts w:ascii="Corbel" w:hAnsi="Corbel" w:cs="Arial"/>
          <w:sz w:val="22"/>
          <w:szCs w:val="22"/>
          <w:lang w:val="en-GB"/>
        </w:rPr>
        <w:t xml:space="preserve">gender blind. </w:t>
      </w:r>
    </w:p>
    <w:p w14:paraId="0E6C04D6" w14:textId="03F34A58" w:rsidR="00A568DF" w:rsidRDefault="00A568DF" w:rsidP="007C139C">
      <w:pPr>
        <w:pStyle w:val="ListParagraph"/>
        <w:tabs>
          <w:tab w:val="left" w:pos="360"/>
        </w:tabs>
        <w:spacing w:line="276" w:lineRule="auto"/>
        <w:ind w:left="0"/>
        <w:contextualSpacing w:val="0"/>
        <w:jc w:val="both"/>
        <w:rPr>
          <w:rFonts w:ascii="Corbel" w:hAnsi="Corbel" w:cs="Arial"/>
          <w:sz w:val="22"/>
          <w:szCs w:val="22"/>
          <w:lang w:val="en-GB"/>
        </w:rPr>
      </w:pPr>
    </w:p>
    <w:p w14:paraId="5FD93296" w14:textId="3918383E" w:rsidR="00E915B1" w:rsidRDefault="00A568DF" w:rsidP="009F5E65">
      <w:pPr>
        <w:jc w:val="both"/>
        <w:rPr>
          <w:rFonts w:ascii="Corbel" w:eastAsiaTheme="minorEastAsia" w:hAnsi="Corbel" w:cs="Arial"/>
          <w:sz w:val="22"/>
          <w:szCs w:val="22"/>
          <w:lang w:eastAsia="en-US"/>
        </w:rPr>
      </w:pPr>
      <w:r w:rsidRPr="0F3A49C3">
        <w:rPr>
          <w:rFonts w:ascii="Corbel" w:eastAsiaTheme="minorEastAsia" w:hAnsi="Corbel" w:cs="Arial"/>
          <w:sz w:val="22"/>
          <w:szCs w:val="22"/>
          <w:lang w:eastAsia="en-US"/>
        </w:rPr>
        <w:t xml:space="preserve">The project </w:t>
      </w:r>
      <w:r w:rsidR="00135BF4">
        <w:rPr>
          <w:rFonts w:ascii="Corbel" w:eastAsiaTheme="minorEastAsia" w:hAnsi="Corbel" w:cs="Arial"/>
          <w:sz w:val="22"/>
          <w:szCs w:val="22"/>
          <w:lang w:eastAsia="en-US"/>
        </w:rPr>
        <w:t xml:space="preserve">utilized </w:t>
      </w:r>
      <w:r w:rsidR="00C57B7C">
        <w:rPr>
          <w:rFonts w:ascii="Corbel" w:eastAsiaTheme="minorEastAsia" w:hAnsi="Corbel" w:cs="Arial"/>
          <w:sz w:val="22"/>
          <w:szCs w:val="22"/>
          <w:lang w:eastAsia="en-US"/>
        </w:rPr>
        <w:t xml:space="preserve">99.78 percent </w:t>
      </w:r>
      <w:r w:rsidR="00CF4F59" w:rsidRPr="0F3A49C3">
        <w:rPr>
          <w:rFonts w:ascii="Corbel" w:eastAsiaTheme="minorEastAsia" w:hAnsi="Corbel" w:cs="Arial"/>
          <w:sz w:val="22"/>
          <w:szCs w:val="22"/>
          <w:lang w:eastAsia="en-US"/>
        </w:rPr>
        <w:t>of</w:t>
      </w:r>
      <w:r w:rsidRPr="0F3A49C3">
        <w:rPr>
          <w:rFonts w:ascii="Corbel" w:eastAsiaTheme="minorEastAsia" w:hAnsi="Corbel" w:cs="Arial"/>
          <w:sz w:val="22"/>
          <w:szCs w:val="22"/>
          <w:lang w:eastAsia="en-US"/>
        </w:rPr>
        <w:t xml:space="preserve"> the </w:t>
      </w:r>
      <w:r w:rsidR="00C57B7C">
        <w:rPr>
          <w:rFonts w:ascii="Corbel" w:eastAsiaTheme="minorEastAsia" w:hAnsi="Corbel" w:cs="Arial"/>
          <w:sz w:val="22"/>
          <w:szCs w:val="22"/>
          <w:lang w:eastAsia="en-US"/>
        </w:rPr>
        <w:t>multi-year</w:t>
      </w:r>
      <w:r w:rsidRPr="0F3A49C3">
        <w:rPr>
          <w:rFonts w:ascii="Corbel" w:eastAsiaTheme="minorEastAsia" w:hAnsi="Corbel" w:cs="Arial"/>
          <w:sz w:val="22"/>
          <w:szCs w:val="22"/>
          <w:lang w:eastAsia="en-US"/>
        </w:rPr>
        <w:t xml:space="preserve"> budget over the reporting period of </w:t>
      </w:r>
      <w:r w:rsidR="00C57B7C">
        <w:rPr>
          <w:rFonts w:ascii="Corbel" w:eastAsiaTheme="minorEastAsia" w:hAnsi="Corbel" w:cs="Arial"/>
          <w:sz w:val="22"/>
          <w:szCs w:val="22"/>
          <w:lang w:eastAsia="en-US"/>
        </w:rPr>
        <w:t xml:space="preserve">1 October </w:t>
      </w:r>
      <w:r w:rsidRPr="0F3A49C3">
        <w:rPr>
          <w:rFonts w:ascii="Corbel" w:eastAsiaTheme="minorEastAsia" w:hAnsi="Corbel" w:cs="Arial"/>
          <w:sz w:val="22"/>
          <w:szCs w:val="22"/>
          <w:lang w:eastAsia="en-US"/>
        </w:rPr>
        <w:t>2017-</w:t>
      </w:r>
      <w:r w:rsidR="00275DE5">
        <w:rPr>
          <w:rFonts w:ascii="Corbel" w:eastAsiaTheme="minorEastAsia" w:hAnsi="Corbel" w:cs="Arial"/>
          <w:sz w:val="22"/>
          <w:szCs w:val="22"/>
          <w:lang w:eastAsia="en-US"/>
        </w:rPr>
        <w:t xml:space="preserve">March 2022 (to be confirmed </w:t>
      </w:r>
      <w:r w:rsidR="002610F0">
        <w:rPr>
          <w:rFonts w:ascii="Corbel" w:eastAsiaTheme="minorEastAsia" w:hAnsi="Corbel" w:cs="Arial"/>
          <w:sz w:val="22"/>
          <w:szCs w:val="22"/>
          <w:lang w:eastAsia="en-US"/>
        </w:rPr>
        <w:t>upon the closing of all pending transactions)</w:t>
      </w:r>
      <w:r w:rsidRPr="0F3A49C3">
        <w:rPr>
          <w:rFonts w:ascii="Corbel" w:eastAsiaTheme="minorEastAsia" w:hAnsi="Corbel" w:cs="Arial"/>
          <w:sz w:val="22"/>
          <w:szCs w:val="22"/>
          <w:lang w:eastAsia="en-US"/>
        </w:rPr>
        <w:t>.</w:t>
      </w:r>
      <w:r w:rsidR="0023789A" w:rsidRPr="00623592">
        <w:rPr>
          <w:rFonts w:ascii="Corbel" w:eastAsiaTheme="minorHAnsi" w:hAnsi="Corbel" w:cs="Arial"/>
          <w:sz w:val="22"/>
          <w:szCs w:val="22"/>
          <w:lang w:eastAsia="en-US"/>
        </w:rPr>
        <w:t xml:space="preserve"> </w:t>
      </w:r>
      <w:r w:rsidR="00E84D29">
        <w:rPr>
          <w:rFonts w:ascii="Corbel" w:eastAsiaTheme="minorHAnsi" w:hAnsi="Corbel" w:cs="Arial"/>
          <w:sz w:val="22"/>
          <w:szCs w:val="22"/>
          <w:lang w:eastAsia="en-US"/>
        </w:rPr>
        <w:t>During project implementation, the allocation of re</w:t>
      </w:r>
      <w:r w:rsidR="009F5E65">
        <w:rPr>
          <w:rFonts w:ascii="Corbel" w:eastAsiaTheme="minorHAnsi" w:hAnsi="Corbel" w:cs="Arial"/>
          <w:sz w:val="22"/>
          <w:szCs w:val="22"/>
          <w:lang w:eastAsia="en-US"/>
        </w:rPr>
        <w:t xml:space="preserve">sources among the </w:t>
      </w:r>
      <w:r w:rsidR="004E3724">
        <w:rPr>
          <w:rFonts w:ascii="Corbel" w:eastAsiaTheme="minorHAnsi" w:hAnsi="Corbel" w:cs="Arial"/>
          <w:sz w:val="22"/>
          <w:szCs w:val="22"/>
          <w:lang w:eastAsia="en-US"/>
        </w:rPr>
        <w:t xml:space="preserve">six </w:t>
      </w:r>
      <w:r w:rsidR="009F5E65">
        <w:rPr>
          <w:rFonts w:ascii="Corbel" w:eastAsiaTheme="minorHAnsi" w:hAnsi="Corbel" w:cs="Arial"/>
          <w:sz w:val="22"/>
          <w:szCs w:val="22"/>
          <w:lang w:eastAsia="en-US"/>
        </w:rPr>
        <w:t xml:space="preserve">outputs varied significantly compared to </w:t>
      </w:r>
      <w:r w:rsidR="00743C1C">
        <w:rPr>
          <w:rFonts w:ascii="Corbel" w:eastAsiaTheme="minorHAnsi" w:hAnsi="Corbel" w:cs="Arial"/>
          <w:sz w:val="22"/>
          <w:szCs w:val="22"/>
          <w:lang w:eastAsia="en-US"/>
        </w:rPr>
        <w:t xml:space="preserve">the </w:t>
      </w:r>
      <w:r w:rsidR="009F5E65">
        <w:rPr>
          <w:rFonts w:ascii="Corbel" w:eastAsiaTheme="minorHAnsi" w:hAnsi="Corbel" w:cs="Arial"/>
          <w:sz w:val="22"/>
          <w:szCs w:val="22"/>
          <w:lang w:eastAsia="en-US"/>
        </w:rPr>
        <w:t xml:space="preserve">budget </w:t>
      </w:r>
      <w:r w:rsidR="004E3724">
        <w:rPr>
          <w:rFonts w:ascii="Corbel" w:eastAsiaTheme="minorHAnsi" w:hAnsi="Corbel" w:cs="Arial"/>
          <w:sz w:val="22"/>
          <w:szCs w:val="22"/>
          <w:lang w:eastAsia="en-US"/>
        </w:rPr>
        <w:t xml:space="preserve">prepared during project design. Specifically, </w:t>
      </w:r>
      <w:r w:rsidR="00B05BCA">
        <w:rPr>
          <w:rFonts w:ascii="Corbel" w:eastAsiaTheme="minorHAnsi" w:hAnsi="Corbel" w:cs="Arial"/>
          <w:sz w:val="22"/>
          <w:szCs w:val="22"/>
          <w:lang w:eastAsia="en-US"/>
        </w:rPr>
        <w:t xml:space="preserve">activities </w:t>
      </w:r>
      <w:r w:rsidR="00E32B71">
        <w:rPr>
          <w:rFonts w:ascii="Corbel" w:eastAsiaTheme="minorHAnsi" w:hAnsi="Corbel" w:cs="Arial"/>
          <w:sz w:val="22"/>
          <w:szCs w:val="22"/>
          <w:lang w:eastAsia="en-US"/>
        </w:rPr>
        <w:t xml:space="preserve">contributing to outcome 3 on transparency and gender mainstreaming in trade </w:t>
      </w:r>
      <w:r w:rsidR="0099354E">
        <w:rPr>
          <w:rFonts w:ascii="Corbel" w:eastAsiaTheme="minorHAnsi" w:hAnsi="Corbel" w:cs="Arial"/>
          <w:sz w:val="22"/>
          <w:szCs w:val="22"/>
          <w:lang w:eastAsia="en-US"/>
        </w:rPr>
        <w:t>did not receive the expected interest and</w:t>
      </w:r>
      <w:r w:rsidR="004B0A34">
        <w:rPr>
          <w:rFonts w:ascii="Corbel" w:eastAsiaTheme="minorHAnsi" w:hAnsi="Corbel" w:cs="Arial"/>
          <w:sz w:val="22"/>
          <w:szCs w:val="22"/>
          <w:lang w:eastAsia="en-US"/>
        </w:rPr>
        <w:t xml:space="preserve"> buy-in from regional stakeholders</w:t>
      </w:r>
      <w:r w:rsidR="0059425D">
        <w:rPr>
          <w:rFonts w:ascii="Corbel" w:eastAsiaTheme="minorHAnsi" w:hAnsi="Corbel" w:cs="Arial"/>
          <w:sz w:val="22"/>
          <w:szCs w:val="22"/>
          <w:lang w:eastAsia="en-US"/>
        </w:rPr>
        <w:t xml:space="preserve">. Therefore, the project team decided to re-allocated resources to </w:t>
      </w:r>
      <w:r w:rsidR="00AF7571">
        <w:rPr>
          <w:rFonts w:ascii="Corbel" w:eastAsiaTheme="minorHAnsi" w:hAnsi="Corbel" w:cs="Arial"/>
          <w:sz w:val="22"/>
          <w:szCs w:val="22"/>
          <w:lang w:eastAsia="en-US"/>
        </w:rPr>
        <w:t xml:space="preserve">outcome </w:t>
      </w:r>
      <w:r w:rsidR="00BB400C">
        <w:rPr>
          <w:rFonts w:ascii="Corbel" w:eastAsiaTheme="minorHAnsi" w:hAnsi="Corbel" w:cs="Arial"/>
          <w:sz w:val="22"/>
          <w:szCs w:val="22"/>
          <w:lang w:eastAsia="en-US"/>
        </w:rPr>
        <w:t xml:space="preserve">2, providing </w:t>
      </w:r>
      <w:r w:rsidR="0059425D">
        <w:rPr>
          <w:rFonts w:ascii="Corbel" w:eastAsiaTheme="minorHAnsi" w:hAnsi="Corbel" w:cs="Arial"/>
          <w:sz w:val="22"/>
          <w:szCs w:val="22"/>
          <w:lang w:eastAsia="en-US"/>
        </w:rPr>
        <w:t xml:space="preserve">direct assistance to the modernization of trade policies and trade infrastructure at the country level, whenever national stakeholders demonstrated their commitment </w:t>
      </w:r>
      <w:r w:rsidR="00BB400C">
        <w:rPr>
          <w:rFonts w:ascii="Corbel" w:eastAsiaTheme="minorHAnsi" w:hAnsi="Corbel" w:cs="Arial"/>
          <w:sz w:val="22"/>
          <w:szCs w:val="22"/>
          <w:lang w:eastAsia="en-US"/>
        </w:rPr>
        <w:t xml:space="preserve">to </w:t>
      </w:r>
      <w:r w:rsidR="00BC350B">
        <w:rPr>
          <w:rFonts w:ascii="Corbel" w:eastAsiaTheme="minorHAnsi" w:hAnsi="Corbel" w:cs="Arial"/>
          <w:sz w:val="22"/>
          <w:szCs w:val="22"/>
          <w:lang w:eastAsia="en-US"/>
        </w:rPr>
        <w:t xml:space="preserve">take over responsibility for implementation beyond the project’s duration. </w:t>
      </w:r>
    </w:p>
    <w:p w14:paraId="2472D318" w14:textId="77777777" w:rsidR="00275DE5" w:rsidRPr="00623592" w:rsidRDefault="00275DE5" w:rsidP="00C57B7C">
      <w:pPr>
        <w:rPr>
          <w:rFonts w:ascii="Corbel" w:eastAsiaTheme="minorHAnsi" w:hAnsi="Corbel" w:cs="Arial"/>
          <w:sz w:val="22"/>
          <w:szCs w:val="22"/>
          <w:lang w:eastAsia="en-US"/>
        </w:rPr>
      </w:pPr>
    </w:p>
    <w:p w14:paraId="4961C227" w14:textId="77777777" w:rsidR="00E915B1" w:rsidRPr="00570ACC" w:rsidRDefault="00E915B1" w:rsidP="00E915B1">
      <w:pPr>
        <w:spacing w:line="276" w:lineRule="auto"/>
        <w:jc w:val="both"/>
        <w:outlineLvl w:val="0"/>
        <w:rPr>
          <w:rFonts w:ascii="Corbel" w:eastAsiaTheme="minorHAnsi" w:hAnsi="Corbel" w:cs="Arial"/>
          <w:b/>
          <w:bCs/>
          <w:sz w:val="22"/>
          <w:szCs w:val="22"/>
          <w:lang w:val="en-GB" w:eastAsia="en-US"/>
        </w:rPr>
      </w:pPr>
      <w:bookmarkStart w:id="5" w:name="_Toc103506550"/>
      <w:r w:rsidRPr="00570ACC">
        <w:rPr>
          <w:rFonts w:ascii="Corbel" w:eastAsiaTheme="minorHAnsi" w:hAnsi="Corbel" w:cs="Arial"/>
          <w:b/>
          <w:bCs/>
          <w:sz w:val="22"/>
          <w:szCs w:val="22"/>
          <w:lang w:val="en-GB" w:eastAsia="en-US"/>
        </w:rPr>
        <w:t>Adjusting to new circumstances of Covid-19</w:t>
      </w:r>
      <w:bookmarkEnd w:id="5"/>
    </w:p>
    <w:p w14:paraId="46623FA3" w14:textId="5A261E39" w:rsidR="00E915B1" w:rsidRDefault="00E915B1" w:rsidP="4F6DD0A6">
      <w:pPr>
        <w:spacing w:line="276" w:lineRule="auto"/>
        <w:jc w:val="both"/>
        <w:outlineLvl w:val="0"/>
        <w:rPr>
          <w:rFonts w:ascii="Corbel" w:eastAsiaTheme="minorEastAsia" w:hAnsi="Corbel" w:cs="Arial"/>
          <w:sz w:val="22"/>
          <w:szCs w:val="22"/>
          <w:lang w:eastAsia="en-US"/>
        </w:rPr>
      </w:pPr>
      <w:bookmarkStart w:id="6" w:name="_Toc103506551"/>
      <w:r w:rsidRPr="4F6DD0A6">
        <w:rPr>
          <w:rFonts w:ascii="Corbel" w:eastAsiaTheme="minorEastAsia" w:hAnsi="Corbel" w:cs="Arial"/>
          <w:sz w:val="22"/>
          <w:szCs w:val="22"/>
          <w:lang w:eastAsia="en-US"/>
        </w:rPr>
        <w:t xml:space="preserve">The measures to contain the COVID-19 </w:t>
      </w:r>
      <w:r w:rsidR="00CF4F59" w:rsidRPr="4F6DD0A6">
        <w:rPr>
          <w:rFonts w:ascii="Corbel" w:eastAsiaTheme="minorEastAsia" w:hAnsi="Corbel" w:cs="Arial"/>
          <w:sz w:val="22"/>
          <w:szCs w:val="22"/>
          <w:lang w:eastAsia="en-US"/>
        </w:rPr>
        <w:t>pandemic had</w:t>
      </w:r>
      <w:r w:rsidRPr="4F6DD0A6">
        <w:rPr>
          <w:rFonts w:ascii="Corbel" w:eastAsiaTheme="minorEastAsia" w:hAnsi="Corbel" w:cs="Arial"/>
          <w:sz w:val="22"/>
          <w:szCs w:val="22"/>
          <w:lang w:eastAsia="en-US"/>
        </w:rPr>
        <w:t xml:space="preserve"> profound socio-economic implications for Arab countries and the livelihoods of people in the region during both 2020 and 2021. In the Arab states, </w:t>
      </w:r>
      <w:r w:rsidRPr="4F6DD0A6">
        <w:rPr>
          <w:rFonts w:ascii="Corbel" w:eastAsiaTheme="minorEastAsia" w:hAnsi="Corbel" w:cs="Arial"/>
          <w:sz w:val="22"/>
          <w:szCs w:val="22"/>
          <w:lang w:val="en-GB" w:eastAsia="en-US"/>
        </w:rPr>
        <w:t xml:space="preserve">39 million people working in sectors heavily impacted by COVID-19-related restrictions, especially in the informal economy, </w:t>
      </w:r>
      <w:r w:rsidRPr="4F6DD0A6">
        <w:rPr>
          <w:rFonts w:ascii="Corbel" w:eastAsiaTheme="minorEastAsia" w:hAnsi="Corbel" w:cs="Arial"/>
          <w:sz w:val="22"/>
          <w:szCs w:val="22"/>
          <w:lang w:eastAsia="en-US"/>
        </w:rPr>
        <w:t>were exposed to layoffs or reduction of wages or hours of work</w:t>
      </w:r>
      <w:r w:rsidRPr="4F6DD0A6">
        <w:rPr>
          <w:rFonts w:ascii="Corbel" w:eastAsiaTheme="minorEastAsia" w:hAnsi="Corbel" w:cs="Arial"/>
          <w:sz w:val="22"/>
          <w:szCs w:val="22"/>
          <w:lang w:val="en-GB" w:eastAsia="en-US"/>
        </w:rPr>
        <w:t>.</w:t>
      </w:r>
      <w:r w:rsidRPr="4F6DD0A6">
        <w:rPr>
          <w:rStyle w:val="FootnoteReference"/>
          <w:rFonts w:ascii="Corbel" w:eastAsiaTheme="minorEastAsia" w:hAnsi="Corbel" w:cs="Arial"/>
          <w:sz w:val="22"/>
          <w:szCs w:val="22"/>
          <w:lang w:val="en-GB" w:eastAsia="en-US"/>
        </w:rPr>
        <w:footnoteReference w:id="10"/>
      </w:r>
      <w:r w:rsidRPr="4F6DD0A6">
        <w:rPr>
          <w:rFonts w:ascii="Corbel" w:eastAsiaTheme="minorEastAsia" w:hAnsi="Corbel" w:cs="Arial"/>
          <w:sz w:val="22"/>
          <w:szCs w:val="22"/>
          <w:lang w:val="en-GB" w:eastAsia="en-US"/>
        </w:rPr>
        <w:t xml:space="preserve"> Reforms to trade policies were set aside as policy </w:t>
      </w:r>
      <w:r w:rsidR="00CF4F59" w:rsidRPr="4F6DD0A6">
        <w:rPr>
          <w:rFonts w:ascii="Corbel" w:eastAsiaTheme="minorEastAsia" w:hAnsi="Corbel" w:cs="Arial"/>
          <w:sz w:val="22"/>
          <w:szCs w:val="22"/>
          <w:lang w:val="en-GB" w:eastAsia="en-US"/>
        </w:rPr>
        <w:t>matters</w:t>
      </w:r>
      <w:r w:rsidRPr="4F6DD0A6">
        <w:rPr>
          <w:rFonts w:ascii="Corbel" w:eastAsiaTheme="minorEastAsia" w:hAnsi="Corbel" w:cs="Arial"/>
          <w:sz w:val="22"/>
          <w:szCs w:val="22"/>
          <w:lang w:val="en-GB" w:eastAsia="en-US"/>
        </w:rPr>
        <w:t xml:space="preserve"> were focused on the unavoidable </w:t>
      </w:r>
      <w:r w:rsidRPr="4F6DD0A6">
        <w:rPr>
          <w:rFonts w:ascii="Corbel" w:eastAsiaTheme="minorEastAsia" w:hAnsi="Corbel" w:cs="Arial"/>
          <w:sz w:val="22"/>
          <w:szCs w:val="22"/>
          <w:lang w:eastAsia="en-US"/>
        </w:rPr>
        <w:t xml:space="preserve">GDP contraction and higher spending in public health care and anti-Covid campaigns, which were accompanied by the erosion of the purchasing power for manufacturing in key export markets and changes in consumers’ </w:t>
      </w:r>
      <w:proofErr w:type="spellStart"/>
      <w:r w:rsidRPr="4F6DD0A6">
        <w:rPr>
          <w:rFonts w:ascii="Corbel" w:eastAsiaTheme="minorEastAsia" w:hAnsi="Corbel" w:cs="Arial"/>
          <w:sz w:val="22"/>
          <w:szCs w:val="22"/>
          <w:lang w:eastAsia="en-US"/>
        </w:rPr>
        <w:t>behaviour</w:t>
      </w:r>
      <w:proofErr w:type="spellEnd"/>
      <w:r w:rsidRPr="4F6DD0A6">
        <w:rPr>
          <w:rFonts w:ascii="Corbel" w:eastAsiaTheme="minorEastAsia" w:hAnsi="Corbel" w:cs="Arial"/>
          <w:sz w:val="22"/>
          <w:szCs w:val="22"/>
          <w:lang w:eastAsia="en-US"/>
        </w:rPr>
        <w:t>.</w:t>
      </w:r>
      <w:bookmarkEnd w:id="6"/>
      <w:r w:rsidRPr="4F6DD0A6">
        <w:rPr>
          <w:rFonts w:ascii="Corbel" w:eastAsiaTheme="minorEastAsia" w:hAnsi="Corbel" w:cs="Arial"/>
          <w:sz w:val="22"/>
          <w:szCs w:val="22"/>
          <w:lang w:eastAsia="en-US"/>
        </w:rPr>
        <w:t xml:space="preserve"> </w:t>
      </w:r>
    </w:p>
    <w:p w14:paraId="42303884" w14:textId="18384A73" w:rsidR="00E915B1" w:rsidRDefault="00E915B1" w:rsidP="00E915B1">
      <w:pPr>
        <w:spacing w:line="276" w:lineRule="auto"/>
        <w:jc w:val="both"/>
        <w:outlineLvl w:val="0"/>
        <w:rPr>
          <w:rFonts w:ascii="Corbel" w:eastAsiaTheme="minorHAnsi" w:hAnsi="Corbel" w:cs="Arial"/>
          <w:sz w:val="22"/>
          <w:szCs w:val="22"/>
          <w:lang w:val="en-GB" w:eastAsia="en-US"/>
        </w:rPr>
      </w:pPr>
      <w:bookmarkStart w:id="7" w:name="_Toc103506552"/>
      <w:r w:rsidRPr="00570ACC">
        <w:rPr>
          <w:rFonts w:ascii="Corbel" w:eastAsiaTheme="minorHAnsi" w:hAnsi="Corbel" w:cs="Arial"/>
          <w:sz w:val="22"/>
          <w:szCs w:val="22"/>
          <w:lang w:eastAsia="en-US"/>
        </w:rPr>
        <w:t xml:space="preserve">The significant rise of </w:t>
      </w:r>
      <w:r>
        <w:rPr>
          <w:rFonts w:ascii="Corbel" w:eastAsiaTheme="minorHAnsi" w:hAnsi="Corbel" w:cs="Arial"/>
          <w:sz w:val="22"/>
          <w:szCs w:val="22"/>
          <w:lang w:eastAsia="en-US"/>
        </w:rPr>
        <w:t xml:space="preserve">the price of </w:t>
      </w:r>
      <w:r w:rsidR="005252C3">
        <w:rPr>
          <w:rFonts w:ascii="Corbel" w:eastAsiaTheme="minorHAnsi" w:hAnsi="Corbel" w:cs="Arial"/>
          <w:sz w:val="22"/>
          <w:szCs w:val="22"/>
          <w:lang w:eastAsia="en-US"/>
        </w:rPr>
        <w:t>raw</w:t>
      </w:r>
      <w:r>
        <w:rPr>
          <w:rFonts w:ascii="Corbel" w:eastAsiaTheme="minorHAnsi" w:hAnsi="Corbel" w:cs="Arial"/>
          <w:sz w:val="22"/>
          <w:szCs w:val="22"/>
          <w:lang w:eastAsia="en-US"/>
        </w:rPr>
        <w:t xml:space="preserve"> materials</w:t>
      </w:r>
      <w:r w:rsidRPr="00570ACC">
        <w:rPr>
          <w:rFonts w:ascii="Corbel" w:eastAsiaTheme="minorHAnsi" w:hAnsi="Corbel" w:cs="Arial"/>
          <w:sz w:val="22"/>
          <w:szCs w:val="22"/>
          <w:lang w:eastAsia="en-US"/>
        </w:rPr>
        <w:t>, higher food costs</w:t>
      </w:r>
      <w:r>
        <w:rPr>
          <w:rFonts w:ascii="Corbel" w:eastAsiaTheme="minorHAnsi" w:hAnsi="Corbel" w:cs="Arial"/>
          <w:sz w:val="22"/>
          <w:szCs w:val="22"/>
          <w:lang w:eastAsia="en-US"/>
        </w:rPr>
        <w:t>,</w:t>
      </w:r>
      <w:r w:rsidRPr="00570ACC">
        <w:rPr>
          <w:rFonts w:ascii="Corbel" w:eastAsiaTheme="minorHAnsi" w:hAnsi="Corbel" w:cs="Arial"/>
          <w:sz w:val="22"/>
          <w:szCs w:val="22"/>
          <w:lang w:eastAsia="en-US"/>
        </w:rPr>
        <w:t xml:space="preserve"> inflation</w:t>
      </w:r>
      <w:r>
        <w:rPr>
          <w:rFonts w:ascii="Corbel" w:eastAsiaTheme="minorHAnsi" w:hAnsi="Corbel" w:cs="Arial"/>
          <w:sz w:val="22"/>
          <w:szCs w:val="22"/>
          <w:lang w:eastAsia="en-US"/>
        </w:rPr>
        <w:t>,</w:t>
      </w:r>
      <w:r w:rsidRPr="00570ACC">
        <w:rPr>
          <w:rFonts w:ascii="Corbel" w:eastAsiaTheme="minorHAnsi" w:hAnsi="Corbel" w:cs="Arial"/>
          <w:sz w:val="22"/>
          <w:szCs w:val="22"/>
          <w:lang w:eastAsia="en-US"/>
        </w:rPr>
        <w:t xml:space="preserve"> and the disruption of supply chain</w:t>
      </w:r>
      <w:r>
        <w:rPr>
          <w:rFonts w:ascii="Corbel" w:eastAsiaTheme="minorHAnsi" w:hAnsi="Corbel" w:cs="Arial"/>
          <w:sz w:val="22"/>
          <w:szCs w:val="22"/>
          <w:lang w:eastAsia="en-US"/>
        </w:rPr>
        <w:t>s</w:t>
      </w:r>
      <w:r w:rsidRPr="00570ACC">
        <w:rPr>
          <w:rFonts w:ascii="Corbel" w:eastAsiaTheme="minorHAnsi" w:hAnsi="Corbel" w:cs="Arial"/>
          <w:sz w:val="22"/>
          <w:szCs w:val="22"/>
          <w:lang w:eastAsia="en-US"/>
        </w:rPr>
        <w:t xml:space="preserve"> </w:t>
      </w:r>
      <w:r w:rsidR="005252C3">
        <w:rPr>
          <w:rFonts w:ascii="Corbel" w:eastAsiaTheme="minorHAnsi" w:hAnsi="Corbel" w:cs="Arial"/>
          <w:sz w:val="22"/>
          <w:szCs w:val="22"/>
          <w:lang w:eastAsia="en-US"/>
        </w:rPr>
        <w:t>limited</w:t>
      </w:r>
      <w:r w:rsidRPr="00570ACC">
        <w:rPr>
          <w:rFonts w:ascii="Corbel" w:eastAsiaTheme="minorHAnsi" w:hAnsi="Corbel" w:cs="Arial"/>
          <w:sz w:val="22"/>
          <w:szCs w:val="22"/>
          <w:lang w:eastAsia="en-US"/>
        </w:rPr>
        <w:t xml:space="preserve"> economic recovery. </w:t>
      </w:r>
      <w:r>
        <w:rPr>
          <w:rFonts w:ascii="Corbel" w:eastAsiaTheme="minorHAnsi" w:hAnsi="Corbel" w:cs="Arial"/>
          <w:sz w:val="22"/>
          <w:szCs w:val="22"/>
          <w:lang w:eastAsia="en-US"/>
        </w:rPr>
        <w:t xml:space="preserve">Thus in 2021, </w:t>
      </w:r>
      <w:r w:rsidRPr="00570ACC">
        <w:rPr>
          <w:rFonts w:ascii="Corbel" w:eastAsiaTheme="minorHAnsi" w:hAnsi="Corbel" w:cs="Arial"/>
          <w:sz w:val="22"/>
          <w:szCs w:val="22"/>
          <w:lang w:eastAsia="en-US"/>
        </w:rPr>
        <w:t xml:space="preserve">Arab </w:t>
      </w:r>
      <w:r w:rsidRPr="00570ACC">
        <w:rPr>
          <w:rFonts w:ascii="Corbel" w:eastAsiaTheme="minorHAnsi" w:hAnsi="Corbel" w:cs="Arial"/>
          <w:sz w:val="22"/>
          <w:szCs w:val="22"/>
          <w:lang w:val="en-GB" w:eastAsia="en-US"/>
        </w:rPr>
        <w:t xml:space="preserve">policy makers </w:t>
      </w:r>
      <w:r>
        <w:rPr>
          <w:rFonts w:ascii="Corbel" w:eastAsiaTheme="minorHAnsi" w:hAnsi="Corbel" w:cs="Arial"/>
          <w:sz w:val="22"/>
          <w:szCs w:val="22"/>
          <w:lang w:val="en-GB" w:eastAsia="en-US"/>
        </w:rPr>
        <w:t xml:space="preserve">focused on </w:t>
      </w:r>
      <w:r w:rsidRPr="00570ACC">
        <w:rPr>
          <w:rFonts w:ascii="Corbel" w:eastAsiaTheme="minorHAnsi" w:hAnsi="Corbel" w:cs="Arial"/>
          <w:sz w:val="22"/>
          <w:szCs w:val="22"/>
          <w:lang w:val="en-GB" w:eastAsia="en-US"/>
        </w:rPr>
        <w:t>lift</w:t>
      </w:r>
      <w:r>
        <w:rPr>
          <w:rFonts w:ascii="Corbel" w:eastAsiaTheme="minorHAnsi" w:hAnsi="Corbel" w:cs="Arial"/>
          <w:sz w:val="22"/>
          <w:szCs w:val="22"/>
          <w:lang w:val="en-GB" w:eastAsia="en-US"/>
        </w:rPr>
        <w:t>ing</w:t>
      </w:r>
      <w:r w:rsidRPr="00570ACC">
        <w:rPr>
          <w:rFonts w:ascii="Corbel" w:eastAsiaTheme="minorHAnsi" w:hAnsi="Corbel" w:cs="Arial"/>
          <w:sz w:val="22"/>
          <w:szCs w:val="22"/>
          <w:lang w:val="en-GB" w:eastAsia="en-US"/>
        </w:rPr>
        <w:t xml:space="preserve"> </w:t>
      </w:r>
      <w:r>
        <w:rPr>
          <w:rFonts w:ascii="Corbel" w:eastAsiaTheme="minorHAnsi" w:hAnsi="Corbel" w:cs="Arial"/>
          <w:sz w:val="22"/>
          <w:szCs w:val="22"/>
          <w:lang w:val="en-GB" w:eastAsia="en-US"/>
        </w:rPr>
        <w:t xml:space="preserve">2020 </w:t>
      </w:r>
      <w:r w:rsidRPr="00570ACC">
        <w:rPr>
          <w:rFonts w:ascii="Corbel" w:eastAsiaTheme="minorHAnsi" w:hAnsi="Corbel" w:cs="Arial"/>
          <w:sz w:val="22"/>
          <w:szCs w:val="22"/>
          <w:lang w:val="en-GB" w:eastAsia="en-US"/>
        </w:rPr>
        <w:t xml:space="preserve">restrictions to commercial flows of goods and </w:t>
      </w:r>
      <w:r>
        <w:rPr>
          <w:rFonts w:ascii="Corbel" w:eastAsiaTheme="minorHAnsi" w:hAnsi="Corbel" w:cs="Arial"/>
          <w:sz w:val="22"/>
          <w:szCs w:val="22"/>
          <w:lang w:val="en-GB" w:eastAsia="en-US"/>
        </w:rPr>
        <w:t>services, which renewed the interest in</w:t>
      </w:r>
      <w:r w:rsidRPr="00570ACC">
        <w:rPr>
          <w:rFonts w:ascii="Corbel" w:eastAsiaTheme="minorHAnsi" w:hAnsi="Corbel" w:cs="Arial"/>
          <w:sz w:val="22"/>
          <w:szCs w:val="22"/>
          <w:lang w:val="en-GB" w:eastAsia="en-US"/>
        </w:rPr>
        <w:t xml:space="preserve"> trade </w:t>
      </w:r>
      <w:r>
        <w:rPr>
          <w:rFonts w:ascii="Corbel" w:eastAsiaTheme="minorHAnsi" w:hAnsi="Corbel" w:cs="Arial"/>
          <w:sz w:val="22"/>
          <w:szCs w:val="22"/>
          <w:lang w:val="en-GB" w:eastAsia="en-US"/>
        </w:rPr>
        <w:t>facilitation</w:t>
      </w:r>
      <w:r w:rsidRPr="00570ACC">
        <w:rPr>
          <w:rFonts w:ascii="Corbel" w:eastAsiaTheme="minorHAnsi" w:hAnsi="Corbel" w:cs="Arial"/>
          <w:sz w:val="22"/>
          <w:szCs w:val="22"/>
          <w:lang w:val="en-GB" w:eastAsia="en-US"/>
        </w:rPr>
        <w:t>.</w:t>
      </w:r>
      <w:bookmarkEnd w:id="7"/>
      <w:r w:rsidRPr="00570ACC">
        <w:rPr>
          <w:rFonts w:ascii="Corbel" w:eastAsiaTheme="minorHAnsi" w:hAnsi="Corbel" w:cs="Arial"/>
          <w:sz w:val="22"/>
          <w:szCs w:val="22"/>
          <w:lang w:val="en-GB" w:eastAsia="en-US"/>
        </w:rPr>
        <w:t xml:space="preserve"> </w:t>
      </w:r>
    </w:p>
    <w:p w14:paraId="4EF4F3CC" w14:textId="77777777" w:rsidR="00E915B1" w:rsidRPr="00570ACC" w:rsidRDefault="00E915B1" w:rsidP="00E915B1">
      <w:pPr>
        <w:spacing w:line="276" w:lineRule="auto"/>
        <w:jc w:val="both"/>
        <w:outlineLvl w:val="0"/>
        <w:rPr>
          <w:rFonts w:ascii="Corbel" w:eastAsiaTheme="minorHAnsi" w:hAnsi="Corbel" w:cs="Arial"/>
          <w:sz w:val="22"/>
          <w:szCs w:val="22"/>
          <w:lang w:val="en-GB" w:eastAsia="en-US"/>
        </w:rPr>
      </w:pPr>
    </w:p>
    <w:p w14:paraId="2639BCC4" w14:textId="77777777" w:rsidR="00E915B1" w:rsidRDefault="00E915B1" w:rsidP="00E915B1">
      <w:pPr>
        <w:spacing w:line="276" w:lineRule="auto"/>
        <w:jc w:val="both"/>
        <w:outlineLvl w:val="0"/>
        <w:rPr>
          <w:rFonts w:ascii="Corbel" w:eastAsiaTheme="minorHAnsi" w:hAnsi="Corbel" w:cs="Arial"/>
          <w:sz w:val="22"/>
          <w:szCs w:val="22"/>
          <w:lang w:val="en-GB" w:eastAsia="en-US"/>
        </w:rPr>
      </w:pPr>
      <w:bookmarkStart w:id="8" w:name="_Toc103506553"/>
      <w:r w:rsidRPr="00570ACC">
        <w:rPr>
          <w:rFonts w:ascii="Corbel" w:eastAsiaTheme="minorHAnsi" w:hAnsi="Corbel" w:cs="Arial"/>
          <w:sz w:val="22"/>
          <w:szCs w:val="22"/>
          <w:lang w:val="en-GB" w:eastAsia="en-US"/>
        </w:rPr>
        <w:t>The project capitalize</w:t>
      </w:r>
      <w:r>
        <w:rPr>
          <w:rFonts w:ascii="Corbel" w:eastAsiaTheme="minorHAnsi" w:hAnsi="Corbel" w:cs="Arial"/>
          <w:sz w:val="22"/>
          <w:szCs w:val="22"/>
          <w:lang w:val="en-GB" w:eastAsia="en-US"/>
        </w:rPr>
        <w:t>d</w:t>
      </w:r>
      <w:r w:rsidRPr="00570ACC">
        <w:rPr>
          <w:rFonts w:ascii="Corbel" w:eastAsiaTheme="minorHAnsi" w:hAnsi="Corbel" w:cs="Arial"/>
          <w:sz w:val="22"/>
          <w:szCs w:val="22"/>
          <w:lang w:val="en-GB" w:eastAsia="en-US"/>
        </w:rPr>
        <w:t xml:space="preserve"> on </w:t>
      </w:r>
      <w:r>
        <w:rPr>
          <w:rFonts w:ascii="Corbel" w:eastAsiaTheme="minorHAnsi" w:hAnsi="Corbel" w:cs="Arial"/>
          <w:sz w:val="22"/>
          <w:szCs w:val="22"/>
          <w:lang w:val="en-GB" w:eastAsia="en-US"/>
        </w:rPr>
        <w:t>opportunities the pandemic</w:t>
      </w:r>
      <w:r w:rsidRPr="00570ACC">
        <w:rPr>
          <w:rFonts w:ascii="Corbel" w:eastAsiaTheme="minorHAnsi" w:hAnsi="Corbel" w:cs="Arial"/>
          <w:sz w:val="22"/>
          <w:szCs w:val="22"/>
          <w:lang w:val="en-GB" w:eastAsia="en-US"/>
        </w:rPr>
        <w:t xml:space="preserve"> present</w:t>
      </w:r>
      <w:r>
        <w:rPr>
          <w:rFonts w:ascii="Corbel" w:eastAsiaTheme="minorHAnsi" w:hAnsi="Corbel" w:cs="Arial"/>
          <w:sz w:val="22"/>
          <w:szCs w:val="22"/>
          <w:lang w:val="en-GB" w:eastAsia="en-US"/>
        </w:rPr>
        <w:t>ed</w:t>
      </w:r>
      <w:r w:rsidRPr="00570ACC">
        <w:rPr>
          <w:rFonts w:ascii="Corbel" w:eastAsiaTheme="minorHAnsi" w:hAnsi="Corbel" w:cs="Arial"/>
          <w:sz w:val="22"/>
          <w:szCs w:val="22"/>
          <w:lang w:val="en-GB" w:eastAsia="en-US"/>
        </w:rPr>
        <w:t xml:space="preserve"> </w:t>
      </w:r>
      <w:r>
        <w:rPr>
          <w:rFonts w:ascii="Corbel" w:eastAsiaTheme="minorHAnsi" w:hAnsi="Corbel" w:cs="Arial"/>
          <w:sz w:val="22"/>
          <w:szCs w:val="22"/>
          <w:lang w:val="en-GB" w:eastAsia="en-US"/>
        </w:rPr>
        <w:t>to:</w:t>
      </w:r>
      <w:bookmarkEnd w:id="8"/>
    </w:p>
    <w:p w14:paraId="100B7503" w14:textId="77777777" w:rsidR="00E915B1" w:rsidRPr="006352E8" w:rsidRDefault="00E915B1" w:rsidP="000168EC">
      <w:pPr>
        <w:pStyle w:val="ListParagraph"/>
        <w:numPr>
          <w:ilvl w:val="0"/>
          <w:numId w:val="20"/>
        </w:numPr>
        <w:spacing w:line="276" w:lineRule="auto"/>
        <w:jc w:val="both"/>
        <w:outlineLvl w:val="0"/>
        <w:rPr>
          <w:rFonts w:ascii="Corbel" w:eastAsiaTheme="minorHAnsi" w:hAnsi="Corbel" w:cs="Arial"/>
          <w:sz w:val="22"/>
          <w:szCs w:val="22"/>
          <w:lang w:eastAsia="en-US"/>
        </w:rPr>
      </w:pPr>
      <w:bookmarkStart w:id="9" w:name="_Toc103506554"/>
      <w:r w:rsidRPr="006352E8">
        <w:rPr>
          <w:rFonts w:ascii="Corbel" w:eastAsiaTheme="minorHAnsi" w:hAnsi="Corbel" w:cs="Arial"/>
          <w:sz w:val="22"/>
          <w:szCs w:val="22"/>
          <w:lang w:val="en-GB" w:eastAsia="en-US"/>
        </w:rPr>
        <w:t>enhance policies on e-Commerce</w:t>
      </w:r>
      <w:r>
        <w:rPr>
          <w:rFonts w:ascii="Corbel" w:eastAsiaTheme="minorHAnsi" w:hAnsi="Corbel" w:cs="Arial"/>
          <w:sz w:val="22"/>
          <w:szCs w:val="22"/>
          <w:lang w:val="en-GB" w:eastAsia="en-US"/>
        </w:rPr>
        <w:t>;</w:t>
      </w:r>
      <w:bookmarkEnd w:id="9"/>
    </w:p>
    <w:p w14:paraId="2294A459" w14:textId="77777777" w:rsidR="00E915B1" w:rsidRPr="006352E8" w:rsidRDefault="00E915B1" w:rsidP="000168EC">
      <w:pPr>
        <w:pStyle w:val="ListParagraph"/>
        <w:numPr>
          <w:ilvl w:val="0"/>
          <w:numId w:val="20"/>
        </w:numPr>
        <w:spacing w:line="276" w:lineRule="auto"/>
        <w:jc w:val="both"/>
        <w:outlineLvl w:val="0"/>
        <w:rPr>
          <w:rFonts w:ascii="Corbel" w:eastAsiaTheme="minorHAnsi" w:hAnsi="Corbel" w:cs="Arial"/>
          <w:sz w:val="22"/>
          <w:szCs w:val="22"/>
          <w:lang w:eastAsia="en-US"/>
        </w:rPr>
      </w:pPr>
      <w:bookmarkStart w:id="10" w:name="_Toc103506555"/>
      <w:r w:rsidRPr="006352E8">
        <w:rPr>
          <w:rFonts w:ascii="Corbel" w:eastAsiaTheme="minorHAnsi" w:hAnsi="Corbel" w:cs="Arial"/>
          <w:sz w:val="22"/>
          <w:szCs w:val="22"/>
          <w:lang w:val="en-GB" w:eastAsia="en-US"/>
        </w:rPr>
        <w:t>raise awareness of the strategic relevance of intra-Arab trade to offset reduced supply from other markets</w:t>
      </w:r>
      <w:r>
        <w:rPr>
          <w:rFonts w:ascii="Corbel" w:eastAsiaTheme="minorHAnsi" w:hAnsi="Corbel" w:cs="Arial"/>
          <w:sz w:val="22"/>
          <w:szCs w:val="22"/>
          <w:lang w:val="en-GB" w:eastAsia="en-US"/>
        </w:rPr>
        <w:t>;</w:t>
      </w:r>
      <w:bookmarkEnd w:id="10"/>
    </w:p>
    <w:p w14:paraId="3B719CE9" w14:textId="17473056" w:rsidR="00E915B1" w:rsidRPr="00BA5E89" w:rsidRDefault="00E915B1" w:rsidP="000168EC">
      <w:pPr>
        <w:pStyle w:val="ListParagraph"/>
        <w:numPr>
          <w:ilvl w:val="0"/>
          <w:numId w:val="20"/>
        </w:numPr>
        <w:spacing w:line="276" w:lineRule="auto"/>
        <w:jc w:val="both"/>
        <w:outlineLvl w:val="0"/>
        <w:rPr>
          <w:rFonts w:ascii="Corbel" w:eastAsiaTheme="minorHAnsi" w:hAnsi="Corbel" w:cs="Arial"/>
          <w:sz w:val="22"/>
          <w:szCs w:val="22"/>
          <w:lang w:eastAsia="en-US"/>
        </w:rPr>
      </w:pPr>
      <w:bookmarkStart w:id="11" w:name="_Toc103506556"/>
      <w:r w:rsidRPr="006352E8">
        <w:rPr>
          <w:rFonts w:ascii="Corbel" w:eastAsiaTheme="minorHAnsi" w:hAnsi="Corbel" w:cs="Arial"/>
          <w:sz w:val="22"/>
          <w:szCs w:val="22"/>
          <w:lang w:val="en-GB" w:eastAsia="en-US"/>
        </w:rPr>
        <w:t>promot</w:t>
      </w:r>
      <w:r>
        <w:rPr>
          <w:rFonts w:ascii="Corbel" w:eastAsiaTheme="minorHAnsi" w:hAnsi="Corbel" w:cs="Arial"/>
          <w:sz w:val="22"/>
          <w:szCs w:val="22"/>
          <w:lang w:val="en-GB" w:eastAsia="en-US"/>
        </w:rPr>
        <w:t>e</w:t>
      </w:r>
      <w:r w:rsidRPr="006352E8">
        <w:rPr>
          <w:rFonts w:ascii="Corbel" w:eastAsiaTheme="minorHAnsi" w:hAnsi="Corbel" w:cs="Arial"/>
          <w:sz w:val="22"/>
          <w:szCs w:val="22"/>
          <w:lang w:val="en-GB" w:eastAsia="en-US"/>
        </w:rPr>
        <w:t xml:space="preserve"> trade transparency through </w:t>
      </w:r>
      <w:r>
        <w:rPr>
          <w:rFonts w:ascii="Corbel" w:eastAsiaTheme="minorHAnsi" w:hAnsi="Corbel" w:cs="Arial"/>
          <w:sz w:val="22"/>
          <w:szCs w:val="22"/>
          <w:lang w:val="en-GB" w:eastAsia="en-US"/>
        </w:rPr>
        <w:t xml:space="preserve">a </w:t>
      </w:r>
      <w:r w:rsidRPr="006352E8">
        <w:rPr>
          <w:rFonts w:ascii="Corbel" w:eastAsiaTheme="minorHAnsi" w:hAnsi="Corbel" w:cs="Arial"/>
          <w:sz w:val="22"/>
          <w:szCs w:val="22"/>
          <w:lang w:val="en-GB" w:eastAsia="en-US"/>
        </w:rPr>
        <w:t>notification mechanism of new trade regulations</w:t>
      </w:r>
      <w:r>
        <w:rPr>
          <w:rFonts w:ascii="Corbel" w:eastAsiaTheme="minorHAnsi" w:hAnsi="Corbel" w:cs="Arial"/>
          <w:sz w:val="22"/>
          <w:szCs w:val="22"/>
          <w:lang w:val="en-GB" w:eastAsia="en-US"/>
        </w:rPr>
        <w:t>, which allows trade partners to better prepare and adapt</w:t>
      </w:r>
      <w:r w:rsidRPr="00570ACC">
        <w:rPr>
          <w:rStyle w:val="FootnoteReference"/>
          <w:rFonts w:ascii="Corbel" w:eastAsiaTheme="minorHAnsi" w:hAnsi="Corbel" w:cs="Arial"/>
          <w:sz w:val="22"/>
          <w:szCs w:val="22"/>
          <w:lang w:val="en-GB" w:eastAsia="en-US"/>
        </w:rPr>
        <w:footnoteReference w:id="11"/>
      </w:r>
      <w:r>
        <w:rPr>
          <w:rFonts w:ascii="Corbel" w:eastAsiaTheme="minorHAnsi" w:hAnsi="Corbel" w:cs="Arial"/>
          <w:sz w:val="22"/>
          <w:szCs w:val="22"/>
          <w:lang w:val="en-GB" w:eastAsia="en-US"/>
        </w:rPr>
        <w:t>;</w:t>
      </w:r>
      <w:bookmarkEnd w:id="11"/>
    </w:p>
    <w:p w14:paraId="109D616D" w14:textId="51FA2098" w:rsidR="00E915B1" w:rsidRPr="00C00C3B" w:rsidRDefault="00136F1F" w:rsidP="000168EC">
      <w:pPr>
        <w:pStyle w:val="ListParagraph"/>
        <w:numPr>
          <w:ilvl w:val="0"/>
          <w:numId w:val="20"/>
        </w:numPr>
        <w:spacing w:line="276" w:lineRule="auto"/>
        <w:jc w:val="both"/>
        <w:outlineLvl w:val="0"/>
        <w:rPr>
          <w:rFonts w:ascii="Corbel" w:eastAsiaTheme="minorHAnsi" w:hAnsi="Corbel" w:cs="Arial"/>
          <w:sz w:val="22"/>
          <w:szCs w:val="22"/>
          <w:lang w:eastAsia="en-US"/>
        </w:rPr>
      </w:pPr>
      <w:bookmarkStart w:id="12" w:name="_Toc103506557"/>
      <w:r>
        <w:rPr>
          <w:rFonts w:ascii="Corbel" w:eastAsiaTheme="minorHAnsi" w:hAnsi="Corbel" w:cs="Arial"/>
          <w:sz w:val="22"/>
          <w:szCs w:val="22"/>
          <w:lang w:val="en-US" w:eastAsia="en-US"/>
        </w:rPr>
        <w:t>a</w:t>
      </w:r>
      <w:r w:rsidR="00E915B1">
        <w:rPr>
          <w:rFonts w:ascii="Corbel" w:eastAsiaTheme="minorHAnsi" w:hAnsi="Corbel" w:cs="Arial"/>
          <w:sz w:val="22"/>
          <w:szCs w:val="22"/>
          <w:lang w:val="en-US" w:eastAsia="en-US"/>
        </w:rPr>
        <w:t>ccelerate the transition to</w:t>
      </w:r>
      <w:r w:rsidR="00E915B1" w:rsidRPr="006352E8">
        <w:rPr>
          <w:rFonts w:ascii="Corbel" w:eastAsiaTheme="minorHAnsi" w:hAnsi="Corbel" w:cs="Arial"/>
          <w:sz w:val="22"/>
          <w:szCs w:val="22"/>
          <w:lang w:val="en-GB" w:eastAsia="en-US"/>
        </w:rPr>
        <w:t xml:space="preserve"> electronic processing of trade procedures</w:t>
      </w:r>
      <w:r w:rsidR="00E915B1">
        <w:rPr>
          <w:rFonts w:ascii="Corbel" w:eastAsiaTheme="minorHAnsi" w:hAnsi="Corbel" w:cs="Arial"/>
          <w:sz w:val="22"/>
          <w:szCs w:val="22"/>
          <w:lang w:val="en-GB" w:eastAsia="en-US"/>
        </w:rPr>
        <w:t>; and</w:t>
      </w:r>
      <w:bookmarkEnd w:id="12"/>
    </w:p>
    <w:p w14:paraId="00AF50B8" w14:textId="275154FA" w:rsidR="00E915B1" w:rsidRPr="006352E8" w:rsidRDefault="00136F1F" w:rsidP="000168EC">
      <w:pPr>
        <w:pStyle w:val="ListParagraph"/>
        <w:numPr>
          <w:ilvl w:val="0"/>
          <w:numId w:val="20"/>
        </w:numPr>
        <w:spacing w:line="276" w:lineRule="auto"/>
        <w:jc w:val="both"/>
        <w:outlineLvl w:val="0"/>
        <w:rPr>
          <w:rFonts w:ascii="Corbel" w:eastAsiaTheme="minorHAnsi" w:hAnsi="Corbel" w:cs="Arial"/>
          <w:sz w:val="22"/>
          <w:szCs w:val="22"/>
          <w:lang w:eastAsia="en-US"/>
        </w:rPr>
      </w:pPr>
      <w:bookmarkStart w:id="13" w:name="_Toc103506558"/>
      <w:r>
        <w:rPr>
          <w:rFonts w:ascii="Corbel" w:eastAsiaTheme="minorHAnsi" w:hAnsi="Corbel" w:cs="Arial"/>
          <w:sz w:val="22"/>
          <w:szCs w:val="22"/>
          <w:lang w:val="en-GB" w:eastAsia="en-US"/>
        </w:rPr>
        <w:t>a</w:t>
      </w:r>
      <w:r w:rsidR="00E915B1" w:rsidRPr="006352E8">
        <w:rPr>
          <w:rFonts w:ascii="Corbel" w:eastAsiaTheme="minorHAnsi" w:hAnsi="Corbel" w:cs="Arial"/>
          <w:sz w:val="22"/>
          <w:szCs w:val="22"/>
          <w:lang w:val="en-GB" w:eastAsia="en-US"/>
        </w:rPr>
        <w:t>ctivat</w:t>
      </w:r>
      <w:r w:rsidR="00E915B1">
        <w:rPr>
          <w:rFonts w:ascii="Corbel" w:eastAsiaTheme="minorHAnsi" w:hAnsi="Corbel" w:cs="Arial"/>
          <w:sz w:val="22"/>
          <w:szCs w:val="22"/>
          <w:lang w:val="en-GB" w:eastAsia="en-US"/>
        </w:rPr>
        <w:t>e</w:t>
      </w:r>
      <w:r w:rsidR="00E915B1" w:rsidRPr="006352E8">
        <w:rPr>
          <w:rFonts w:ascii="Corbel" w:eastAsiaTheme="minorHAnsi" w:hAnsi="Corbel" w:cs="Arial"/>
          <w:sz w:val="22"/>
          <w:szCs w:val="22"/>
          <w:lang w:val="en-GB" w:eastAsia="en-US"/>
        </w:rPr>
        <w:t xml:space="preserve"> the trade facilitative platform of Authorized Economic Operators under the WTO Trade Facilitation Agreement.</w:t>
      </w:r>
      <w:bookmarkEnd w:id="13"/>
    </w:p>
    <w:p w14:paraId="60B84635" w14:textId="77777777" w:rsidR="00E915B1" w:rsidRPr="00570ACC" w:rsidRDefault="00E915B1" w:rsidP="00E915B1">
      <w:pPr>
        <w:spacing w:line="276" w:lineRule="auto"/>
        <w:jc w:val="both"/>
        <w:outlineLvl w:val="0"/>
        <w:rPr>
          <w:rFonts w:ascii="Corbel" w:eastAsiaTheme="minorHAnsi" w:hAnsi="Corbel" w:cs="Arial"/>
          <w:b/>
          <w:bCs/>
          <w:i/>
          <w:iCs/>
          <w:sz w:val="22"/>
          <w:szCs w:val="22"/>
          <w:lang w:val="en-GB" w:eastAsia="en-US"/>
        </w:rPr>
      </w:pPr>
    </w:p>
    <w:p w14:paraId="186A5545" w14:textId="77777777" w:rsidR="00E915B1" w:rsidRPr="00570ACC" w:rsidRDefault="00E915B1" w:rsidP="00E915B1">
      <w:pPr>
        <w:spacing w:line="276" w:lineRule="auto"/>
        <w:jc w:val="both"/>
        <w:outlineLvl w:val="0"/>
        <w:rPr>
          <w:rFonts w:ascii="Corbel" w:eastAsiaTheme="minorHAnsi" w:hAnsi="Corbel" w:cs="Arial"/>
          <w:b/>
          <w:bCs/>
          <w:i/>
          <w:iCs/>
          <w:sz w:val="22"/>
          <w:szCs w:val="22"/>
          <w:lang w:val="en-GB" w:eastAsia="en-US"/>
        </w:rPr>
      </w:pPr>
      <w:bookmarkStart w:id="14" w:name="_Toc103506559"/>
      <w:r w:rsidRPr="00570ACC">
        <w:rPr>
          <w:rFonts w:ascii="Corbel" w:eastAsiaTheme="minorHAnsi" w:hAnsi="Corbel" w:cs="Arial"/>
          <w:b/>
          <w:bCs/>
          <w:i/>
          <w:iCs/>
          <w:sz w:val="22"/>
          <w:szCs w:val="22"/>
          <w:lang w:val="en-GB" w:eastAsia="en-US"/>
        </w:rPr>
        <w:t>AEISD contribution to achieving Agenda 2030</w:t>
      </w:r>
      <w:bookmarkEnd w:id="14"/>
    </w:p>
    <w:p w14:paraId="776D6BD1" w14:textId="28477B9C" w:rsidR="00E915B1" w:rsidRPr="00570ACC" w:rsidRDefault="00E915B1" w:rsidP="00E915B1">
      <w:pPr>
        <w:spacing w:line="276" w:lineRule="auto"/>
        <w:jc w:val="both"/>
        <w:outlineLvl w:val="0"/>
        <w:rPr>
          <w:rFonts w:ascii="Corbel" w:eastAsiaTheme="minorHAnsi" w:hAnsi="Corbel" w:cs="Arial"/>
          <w:sz w:val="22"/>
          <w:szCs w:val="22"/>
          <w:lang w:eastAsia="en-US"/>
        </w:rPr>
      </w:pPr>
      <w:bookmarkStart w:id="15" w:name="_Toc103506560"/>
      <w:r w:rsidRPr="00570ACC">
        <w:rPr>
          <w:rFonts w:ascii="Corbel" w:eastAsiaTheme="minorHAnsi" w:hAnsi="Corbel" w:cs="Arial"/>
          <w:sz w:val="22"/>
          <w:szCs w:val="22"/>
          <w:lang w:eastAsia="en-US"/>
        </w:rPr>
        <w:t xml:space="preserve">Arab countries suffered of multiple conflicts, political instability, </w:t>
      </w:r>
      <w:r>
        <w:rPr>
          <w:rFonts w:ascii="Corbel" w:eastAsiaTheme="minorHAnsi" w:hAnsi="Corbel" w:cs="Arial"/>
          <w:sz w:val="22"/>
          <w:szCs w:val="22"/>
          <w:lang w:eastAsia="en-US"/>
        </w:rPr>
        <w:t>exposure to oil price fluctuations,</w:t>
      </w:r>
      <w:r w:rsidRPr="00570ACC">
        <w:rPr>
          <w:rFonts w:ascii="Corbel" w:eastAsiaTheme="minorHAnsi" w:hAnsi="Corbel" w:cs="Arial"/>
          <w:sz w:val="22"/>
          <w:szCs w:val="22"/>
          <w:lang w:val="en-GB" w:eastAsia="en-US"/>
        </w:rPr>
        <w:t xml:space="preserve"> </w:t>
      </w:r>
      <w:r>
        <w:rPr>
          <w:rFonts w:ascii="Corbel" w:eastAsiaTheme="minorHAnsi" w:hAnsi="Corbel" w:cs="Arial"/>
          <w:sz w:val="22"/>
          <w:szCs w:val="22"/>
          <w:lang w:val="en-GB" w:eastAsia="en-US"/>
        </w:rPr>
        <w:t xml:space="preserve">heavy </w:t>
      </w:r>
      <w:r w:rsidRPr="00570ACC">
        <w:rPr>
          <w:rFonts w:ascii="Corbel" w:eastAsiaTheme="minorHAnsi" w:hAnsi="Corbel" w:cs="Arial"/>
          <w:sz w:val="22"/>
          <w:szCs w:val="22"/>
          <w:lang w:val="en-GB" w:eastAsia="en-US"/>
        </w:rPr>
        <w:t>reliance on food imports</w:t>
      </w:r>
      <w:r>
        <w:rPr>
          <w:rFonts w:ascii="Corbel" w:eastAsiaTheme="minorHAnsi" w:hAnsi="Corbel" w:cs="Arial"/>
          <w:sz w:val="22"/>
          <w:szCs w:val="22"/>
          <w:lang w:val="en-GB" w:eastAsia="en-US"/>
        </w:rPr>
        <w:t xml:space="preserve">, </w:t>
      </w:r>
      <w:r w:rsidRPr="00570ACC">
        <w:rPr>
          <w:rFonts w:ascii="Corbel" w:eastAsiaTheme="minorHAnsi" w:hAnsi="Corbel" w:cs="Arial"/>
          <w:sz w:val="22"/>
          <w:szCs w:val="22"/>
          <w:lang w:val="en-GB" w:eastAsia="en-US"/>
        </w:rPr>
        <w:t>some of the world’s lowest levels of economic participation rates for women</w:t>
      </w:r>
      <w:r>
        <w:rPr>
          <w:rFonts w:ascii="Corbel" w:eastAsiaTheme="minorHAnsi" w:hAnsi="Corbel" w:cs="Arial"/>
          <w:sz w:val="22"/>
          <w:szCs w:val="22"/>
          <w:lang w:val="en-GB" w:eastAsia="en-US"/>
        </w:rPr>
        <w:t xml:space="preserve">, and </w:t>
      </w:r>
      <w:r w:rsidR="00D04A31" w:rsidRPr="00570ACC">
        <w:rPr>
          <w:rFonts w:ascii="Corbel" w:eastAsiaTheme="minorHAnsi" w:hAnsi="Corbel" w:cs="Arial"/>
          <w:sz w:val="22"/>
          <w:szCs w:val="22"/>
          <w:lang w:val="en-GB" w:eastAsia="en-US"/>
        </w:rPr>
        <w:t>exacerbated</w:t>
      </w:r>
      <w:r w:rsidRPr="00570ACC">
        <w:rPr>
          <w:rFonts w:ascii="Corbel" w:eastAsiaTheme="minorHAnsi" w:hAnsi="Corbel" w:cs="Arial"/>
          <w:sz w:val="22"/>
          <w:szCs w:val="22"/>
          <w:lang w:val="en-GB" w:eastAsia="en-US"/>
        </w:rPr>
        <w:t xml:space="preserve"> effects of climate changes</w:t>
      </w:r>
      <w:r>
        <w:rPr>
          <w:rFonts w:ascii="Corbel" w:eastAsiaTheme="minorHAnsi" w:hAnsi="Corbel" w:cs="Arial"/>
          <w:sz w:val="22"/>
          <w:szCs w:val="22"/>
          <w:lang w:val="en-GB" w:eastAsia="en-US"/>
        </w:rPr>
        <w:t xml:space="preserve">, especially in terms of heat waves, </w:t>
      </w:r>
      <w:r w:rsidRPr="00570ACC">
        <w:rPr>
          <w:rFonts w:ascii="Corbel" w:eastAsiaTheme="minorHAnsi" w:hAnsi="Corbel" w:cs="Arial"/>
          <w:sz w:val="22"/>
          <w:szCs w:val="22"/>
          <w:lang w:val="en-GB" w:eastAsia="en-US"/>
        </w:rPr>
        <w:t>drought</w:t>
      </w:r>
      <w:r>
        <w:rPr>
          <w:rFonts w:ascii="Corbel" w:eastAsiaTheme="minorHAnsi" w:hAnsi="Corbel" w:cs="Arial"/>
          <w:sz w:val="22"/>
          <w:szCs w:val="22"/>
          <w:lang w:val="en-GB" w:eastAsia="en-US"/>
        </w:rPr>
        <w:t>s,</w:t>
      </w:r>
      <w:r w:rsidRPr="00570ACC">
        <w:rPr>
          <w:rFonts w:ascii="Corbel" w:eastAsiaTheme="minorHAnsi" w:hAnsi="Corbel" w:cs="Arial"/>
          <w:sz w:val="22"/>
          <w:szCs w:val="22"/>
          <w:lang w:val="en-GB" w:eastAsia="en-US"/>
        </w:rPr>
        <w:t xml:space="preserve"> and</w:t>
      </w:r>
      <w:r>
        <w:rPr>
          <w:rFonts w:ascii="Corbel" w:eastAsiaTheme="minorHAnsi" w:hAnsi="Corbel" w:cs="Arial"/>
          <w:sz w:val="22"/>
          <w:szCs w:val="22"/>
          <w:lang w:val="en-GB" w:eastAsia="en-US"/>
        </w:rPr>
        <w:t xml:space="preserve"> increasing water scarcity</w:t>
      </w:r>
      <w:r w:rsidRPr="00570ACC">
        <w:rPr>
          <w:rFonts w:ascii="Corbel" w:eastAsiaTheme="minorHAnsi" w:hAnsi="Corbel" w:cs="Arial"/>
          <w:sz w:val="22"/>
          <w:szCs w:val="22"/>
          <w:lang w:val="en-GB" w:eastAsia="en-US"/>
        </w:rPr>
        <w:t xml:space="preserve">. </w:t>
      </w:r>
      <w:r w:rsidRPr="00570ACC">
        <w:rPr>
          <w:rFonts w:ascii="Corbel" w:eastAsiaTheme="minorHAnsi" w:hAnsi="Corbel" w:cs="Arial"/>
          <w:sz w:val="22"/>
          <w:szCs w:val="22"/>
          <w:lang w:eastAsia="en-US"/>
        </w:rPr>
        <w:t xml:space="preserve">Therefore, it is only through </w:t>
      </w:r>
      <w:r>
        <w:rPr>
          <w:rFonts w:ascii="Corbel" w:eastAsiaTheme="minorHAnsi" w:hAnsi="Corbel" w:cs="Arial"/>
          <w:sz w:val="22"/>
          <w:szCs w:val="22"/>
          <w:lang w:eastAsia="en-US"/>
        </w:rPr>
        <w:t>a thorough re</w:t>
      </w:r>
      <w:r w:rsidRPr="00570ACC">
        <w:rPr>
          <w:rFonts w:ascii="Corbel" w:eastAsiaTheme="minorHAnsi" w:hAnsi="Corbel" w:cs="Arial"/>
          <w:sz w:val="22"/>
          <w:szCs w:val="22"/>
          <w:lang w:eastAsia="en-US"/>
        </w:rPr>
        <w:t>alignment of policies and interventions with the 2030 Agenda that the region can hope to achieve the Sustainable Development Goals (SDGs)</w:t>
      </w:r>
      <w:r>
        <w:rPr>
          <w:rFonts w:ascii="Corbel" w:eastAsiaTheme="minorHAnsi" w:hAnsi="Corbel" w:cs="Arial"/>
          <w:sz w:val="22"/>
          <w:szCs w:val="22"/>
          <w:lang w:eastAsia="en-US"/>
        </w:rPr>
        <w:t>.</w:t>
      </w:r>
      <w:r w:rsidRPr="00570ACC">
        <w:rPr>
          <w:rStyle w:val="FootnoteReference"/>
          <w:rFonts w:ascii="Corbel" w:eastAsiaTheme="minorHAnsi" w:hAnsi="Corbel" w:cs="Arial"/>
          <w:sz w:val="22"/>
          <w:szCs w:val="22"/>
          <w:lang w:eastAsia="en-US"/>
        </w:rPr>
        <w:footnoteReference w:id="12"/>
      </w:r>
      <w:r w:rsidRPr="00570ACC">
        <w:t xml:space="preserve"> </w:t>
      </w:r>
      <w:r w:rsidRPr="00570ACC">
        <w:rPr>
          <w:rFonts w:ascii="Corbel" w:eastAsiaTheme="minorHAnsi" w:hAnsi="Corbel" w:cs="Arial"/>
          <w:sz w:val="22"/>
          <w:szCs w:val="22"/>
          <w:lang w:eastAsia="en-US"/>
        </w:rPr>
        <w:t>Evidence from international experiences show</w:t>
      </w:r>
      <w:r>
        <w:rPr>
          <w:rFonts w:ascii="Corbel" w:eastAsiaTheme="minorHAnsi" w:hAnsi="Corbel" w:cs="Arial"/>
          <w:sz w:val="22"/>
          <w:szCs w:val="22"/>
          <w:lang w:eastAsia="en-US"/>
        </w:rPr>
        <w:t>s</w:t>
      </w:r>
      <w:r w:rsidRPr="00570ACC">
        <w:rPr>
          <w:rFonts w:ascii="Corbel" w:eastAsiaTheme="minorHAnsi" w:hAnsi="Corbel" w:cs="Arial"/>
          <w:sz w:val="22"/>
          <w:szCs w:val="22"/>
          <w:lang w:eastAsia="en-US"/>
        </w:rPr>
        <w:t xml:space="preserve"> that trade</w:t>
      </w:r>
      <w:r>
        <w:rPr>
          <w:rFonts w:ascii="Corbel" w:eastAsiaTheme="minorHAnsi" w:hAnsi="Corbel" w:cs="Arial"/>
          <w:sz w:val="22"/>
          <w:szCs w:val="22"/>
          <w:lang w:eastAsia="en-US"/>
        </w:rPr>
        <w:t xml:space="preserve"> can play a role in fostering sustained, </w:t>
      </w:r>
      <w:r w:rsidR="00D04A31">
        <w:rPr>
          <w:rFonts w:ascii="Corbel" w:eastAsiaTheme="minorHAnsi" w:hAnsi="Corbel" w:cs="Arial"/>
          <w:sz w:val="22"/>
          <w:szCs w:val="22"/>
          <w:lang w:eastAsia="en-US"/>
        </w:rPr>
        <w:t>sustainable,</w:t>
      </w:r>
      <w:r>
        <w:rPr>
          <w:rFonts w:ascii="Corbel" w:eastAsiaTheme="minorHAnsi" w:hAnsi="Corbel" w:cs="Arial"/>
          <w:sz w:val="22"/>
          <w:szCs w:val="22"/>
          <w:lang w:eastAsia="en-US"/>
        </w:rPr>
        <w:t xml:space="preserve"> and inclusive economic growth, which is critical to achiev</w:t>
      </w:r>
      <w:r w:rsidR="008C0325">
        <w:rPr>
          <w:rFonts w:ascii="Corbel" w:eastAsiaTheme="minorHAnsi" w:hAnsi="Corbel" w:cs="Arial"/>
          <w:sz w:val="22"/>
          <w:szCs w:val="22"/>
          <w:lang w:eastAsia="en-US"/>
        </w:rPr>
        <w:t>ing</w:t>
      </w:r>
      <w:r>
        <w:rPr>
          <w:rFonts w:ascii="Corbel" w:eastAsiaTheme="minorHAnsi" w:hAnsi="Corbel" w:cs="Arial"/>
          <w:sz w:val="22"/>
          <w:szCs w:val="22"/>
          <w:lang w:eastAsia="en-US"/>
        </w:rPr>
        <w:t xml:space="preserve"> SDGs in the region</w:t>
      </w:r>
      <w:r w:rsidRPr="00570ACC">
        <w:rPr>
          <w:rFonts w:ascii="Corbel" w:eastAsiaTheme="minorHAnsi" w:hAnsi="Corbel" w:cs="Arial"/>
          <w:sz w:val="22"/>
          <w:szCs w:val="22"/>
          <w:lang w:eastAsia="en-US"/>
        </w:rPr>
        <w:t>.</w:t>
      </w:r>
      <w:r w:rsidRPr="00570ACC">
        <w:rPr>
          <w:rStyle w:val="FootnoteReference"/>
          <w:rFonts w:ascii="Corbel" w:eastAsiaTheme="minorHAnsi" w:hAnsi="Corbel" w:cs="Arial"/>
          <w:sz w:val="22"/>
          <w:szCs w:val="22"/>
          <w:lang w:eastAsia="en-US"/>
        </w:rPr>
        <w:footnoteReference w:id="13"/>
      </w:r>
      <w:bookmarkEnd w:id="15"/>
    </w:p>
    <w:p w14:paraId="3BCE2E95" w14:textId="77777777" w:rsidR="00E915B1" w:rsidRPr="00570ACC" w:rsidRDefault="00E915B1" w:rsidP="00E915B1">
      <w:pPr>
        <w:spacing w:line="276" w:lineRule="auto"/>
        <w:jc w:val="both"/>
        <w:outlineLvl w:val="0"/>
        <w:rPr>
          <w:rFonts w:ascii="Corbel" w:eastAsiaTheme="minorHAnsi" w:hAnsi="Corbel" w:cs="Arial"/>
          <w:sz w:val="22"/>
          <w:szCs w:val="22"/>
          <w:lang w:eastAsia="en-US"/>
        </w:rPr>
      </w:pPr>
    </w:p>
    <w:p w14:paraId="6FDDD521" w14:textId="77777777" w:rsidR="00E915B1" w:rsidRPr="00570ACC" w:rsidRDefault="00E915B1" w:rsidP="00E915B1">
      <w:pPr>
        <w:spacing w:line="276" w:lineRule="auto"/>
        <w:jc w:val="both"/>
        <w:outlineLvl w:val="0"/>
        <w:rPr>
          <w:rFonts w:ascii="Corbel" w:eastAsiaTheme="minorHAnsi" w:hAnsi="Corbel" w:cs="Arial"/>
          <w:sz w:val="22"/>
          <w:szCs w:val="22"/>
          <w:lang w:val="en-GB" w:eastAsia="en-US"/>
        </w:rPr>
      </w:pPr>
      <w:bookmarkStart w:id="16" w:name="_Toc103506561"/>
      <w:r>
        <w:rPr>
          <w:rFonts w:ascii="Corbel" w:eastAsiaTheme="minorHAnsi" w:hAnsi="Corbel" w:cs="Arial"/>
          <w:sz w:val="22"/>
          <w:szCs w:val="22"/>
          <w:lang w:eastAsia="en-US"/>
        </w:rPr>
        <w:t>The three outcomes of the p</w:t>
      </w:r>
      <w:r w:rsidRPr="00570ACC">
        <w:rPr>
          <w:rFonts w:ascii="Corbel" w:eastAsiaTheme="minorHAnsi" w:hAnsi="Corbel" w:cs="Arial"/>
          <w:sz w:val="22"/>
          <w:szCs w:val="22"/>
          <w:lang w:eastAsia="en-US"/>
        </w:rPr>
        <w:t xml:space="preserve">roject focused on </w:t>
      </w:r>
      <w:r>
        <w:rPr>
          <w:rFonts w:ascii="Corbel" w:eastAsiaTheme="minorHAnsi" w:hAnsi="Corbel" w:cs="Arial"/>
          <w:sz w:val="22"/>
          <w:szCs w:val="22"/>
          <w:lang w:eastAsia="en-US"/>
        </w:rPr>
        <w:t xml:space="preserve">regional and national </w:t>
      </w:r>
      <w:r w:rsidRPr="00570ACC">
        <w:rPr>
          <w:rFonts w:ascii="Corbel" w:eastAsiaTheme="minorHAnsi" w:hAnsi="Corbel" w:cs="Arial"/>
          <w:sz w:val="22"/>
          <w:szCs w:val="22"/>
          <w:lang w:eastAsia="en-US"/>
        </w:rPr>
        <w:t xml:space="preserve">trade policies </w:t>
      </w:r>
      <w:r>
        <w:rPr>
          <w:rFonts w:ascii="Corbel" w:eastAsiaTheme="minorHAnsi" w:hAnsi="Corbel" w:cs="Arial"/>
          <w:sz w:val="22"/>
          <w:szCs w:val="22"/>
          <w:lang w:eastAsia="en-US"/>
        </w:rPr>
        <w:t xml:space="preserve">reforms </w:t>
      </w:r>
      <w:r w:rsidRPr="00570ACC">
        <w:rPr>
          <w:rFonts w:ascii="Corbel" w:eastAsiaTheme="minorHAnsi" w:hAnsi="Corbel" w:cs="Arial"/>
          <w:sz w:val="22"/>
          <w:szCs w:val="22"/>
          <w:lang w:eastAsia="en-US"/>
        </w:rPr>
        <w:t xml:space="preserve">and measures </w:t>
      </w:r>
      <w:r>
        <w:rPr>
          <w:rFonts w:ascii="Corbel" w:eastAsiaTheme="minorHAnsi" w:hAnsi="Corbel" w:cs="Arial"/>
          <w:sz w:val="22"/>
          <w:szCs w:val="22"/>
          <w:lang w:eastAsia="en-US"/>
        </w:rPr>
        <w:t>with the potential to contribute to</w:t>
      </w:r>
      <w:r w:rsidRPr="00570ACC">
        <w:rPr>
          <w:rFonts w:ascii="Corbel" w:eastAsiaTheme="minorHAnsi" w:hAnsi="Corbel" w:cs="Arial"/>
          <w:sz w:val="22"/>
          <w:szCs w:val="22"/>
          <w:lang w:val="en-GB" w:eastAsia="en-US"/>
        </w:rPr>
        <w:t xml:space="preserve"> inclusive and sustainable economic growth, and employment </w:t>
      </w:r>
      <w:r>
        <w:rPr>
          <w:rFonts w:ascii="Corbel" w:eastAsiaTheme="minorHAnsi" w:hAnsi="Corbel" w:cs="Arial"/>
          <w:sz w:val="22"/>
          <w:szCs w:val="22"/>
          <w:lang w:val="en-GB" w:eastAsia="en-US"/>
        </w:rPr>
        <w:t>(</w:t>
      </w:r>
      <w:r w:rsidRPr="00570ACC">
        <w:rPr>
          <w:rFonts w:ascii="Corbel" w:eastAsiaTheme="minorHAnsi" w:hAnsi="Corbel" w:cs="Arial"/>
          <w:b/>
          <w:bCs/>
          <w:sz w:val="22"/>
          <w:szCs w:val="22"/>
          <w:lang w:val="en-GB" w:eastAsia="en-US"/>
        </w:rPr>
        <w:t>SDG</w:t>
      </w:r>
      <w:r w:rsidRPr="00570ACC">
        <w:rPr>
          <w:rFonts w:ascii="Corbel" w:eastAsiaTheme="minorHAnsi" w:hAnsi="Corbel" w:cs="Arial"/>
          <w:sz w:val="22"/>
          <w:szCs w:val="22"/>
          <w:lang w:val="en-GB" w:eastAsia="en-US"/>
        </w:rPr>
        <w:t xml:space="preserve"> </w:t>
      </w:r>
      <w:r w:rsidRPr="00570ACC">
        <w:rPr>
          <w:rFonts w:ascii="Corbel" w:eastAsiaTheme="minorHAnsi" w:hAnsi="Corbel" w:cs="Arial"/>
          <w:b/>
          <w:sz w:val="22"/>
          <w:szCs w:val="22"/>
          <w:lang w:val="en-GB" w:eastAsia="en-US"/>
        </w:rPr>
        <w:t>8</w:t>
      </w:r>
      <w:r>
        <w:rPr>
          <w:rFonts w:ascii="Corbel" w:eastAsiaTheme="minorHAnsi" w:hAnsi="Corbel" w:cs="Arial"/>
          <w:b/>
          <w:sz w:val="22"/>
          <w:szCs w:val="22"/>
          <w:lang w:val="en-GB" w:eastAsia="en-US"/>
        </w:rPr>
        <w:t>)</w:t>
      </w:r>
      <w:r w:rsidRPr="00570ACC">
        <w:rPr>
          <w:rFonts w:ascii="Corbel" w:eastAsiaTheme="minorHAnsi" w:hAnsi="Corbel" w:cs="Arial"/>
          <w:sz w:val="22"/>
          <w:szCs w:val="22"/>
          <w:lang w:val="en-GB" w:eastAsia="en-US"/>
        </w:rPr>
        <w:t xml:space="preserve"> and </w:t>
      </w:r>
      <w:r>
        <w:rPr>
          <w:rFonts w:ascii="Corbel" w:eastAsiaTheme="minorHAnsi" w:hAnsi="Corbel" w:cs="Arial"/>
          <w:sz w:val="22"/>
          <w:szCs w:val="22"/>
          <w:lang w:val="en-GB" w:eastAsia="en-US"/>
        </w:rPr>
        <w:t xml:space="preserve">to the </w:t>
      </w:r>
      <w:r w:rsidRPr="00570ACC">
        <w:rPr>
          <w:rFonts w:ascii="Corbel" w:eastAsiaTheme="minorHAnsi" w:hAnsi="Corbel" w:cs="Arial"/>
          <w:sz w:val="22"/>
          <w:szCs w:val="22"/>
          <w:lang w:val="en-GB" w:eastAsia="en-US"/>
        </w:rPr>
        <w:t>implementation and revitaliz</w:t>
      </w:r>
      <w:r>
        <w:rPr>
          <w:rFonts w:ascii="Corbel" w:eastAsiaTheme="minorHAnsi" w:hAnsi="Corbel" w:cs="Arial"/>
          <w:sz w:val="22"/>
          <w:szCs w:val="22"/>
          <w:lang w:val="en-GB" w:eastAsia="en-US"/>
        </w:rPr>
        <w:t>ation of</w:t>
      </w:r>
      <w:r w:rsidRPr="00570ACC">
        <w:rPr>
          <w:rFonts w:ascii="Corbel" w:eastAsiaTheme="minorHAnsi" w:hAnsi="Corbel" w:cs="Arial"/>
          <w:sz w:val="22"/>
          <w:szCs w:val="22"/>
          <w:lang w:val="en-GB" w:eastAsia="en-US"/>
        </w:rPr>
        <w:t xml:space="preserve"> the global partnership for sustainable development</w:t>
      </w:r>
      <w:r w:rsidRPr="00570ACC">
        <w:rPr>
          <w:rFonts w:ascii="Corbel" w:eastAsiaTheme="minorHAnsi" w:hAnsi="Corbel" w:cs="Arial"/>
          <w:b/>
          <w:bCs/>
          <w:sz w:val="22"/>
          <w:szCs w:val="22"/>
          <w:lang w:val="en-GB" w:eastAsia="en-US"/>
        </w:rPr>
        <w:t xml:space="preserve"> </w:t>
      </w:r>
      <w:r>
        <w:rPr>
          <w:rFonts w:ascii="Corbel" w:eastAsiaTheme="minorHAnsi" w:hAnsi="Corbel" w:cs="Arial"/>
          <w:b/>
          <w:bCs/>
          <w:sz w:val="22"/>
          <w:szCs w:val="22"/>
          <w:lang w:val="en-GB" w:eastAsia="en-US"/>
        </w:rPr>
        <w:t>(</w:t>
      </w:r>
      <w:r w:rsidRPr="00570ACC">
        <w:rPr>
          <w:rFonts w:ascii="Corbel" w:eastAsiaTheme="minorHAnsi" w:hAnsi="Corbel" w:cs="Arial"/>
          <w:b/>
          <w:bCs/>
          <w:sz w:val="22"/>
          <w:szCs w:val="22"/>
          <w:lang w:val="en-GB" w:eastAsia="en-US"/>
        </w:rPr>
        <w:t>SDG</w:t>
      </w:r>
      <w:r w:rsidRPr="00570ACC">
        <w:rPr>
          <w:rFonts w:ascii="Corbel" w:eastAsiaTheme="minorHAnsi" w:hAnsi="Corbel" w:cs="Arial"/>
          <w:sz w:val="22"/>
          <w:szCs w:val="22"/>
          <w:lang w:val="en-GB" w:eastAsia="en-US"/>
        </w:rPr>
        <w:t xml:space="preserve"> </w:t>
      </w:r>
      <w:r w:rsidRPr="00570ACC">
        <w:rPr>
          <w:rFonts w:ascii="Corbel" w:eastAsiaTheme="minorHAnsi" w:hAnsi="Corbel" w:cs="Arial"/>
          <w:b/>
          <w:sz w:val="22"/>
          <w:szCs w:val="22"/>
          <w:lang w:val="en-GB" w:eastAsia="en-US"/>
        </w:rPr>
        <w:t>17</w:t>
      </w:r>
      <w:r w:rsidRPr="00570ACC">
        <w:rPr>
          <w:rFonts w:ascii="Corbel" w:eastAsiaTheme="minorHAnsi" w:hAnsi="Corbel" w:cs="Arial"/>
          <w:sz w:val="22"/>
          <w:szCs w:val="22"/>
          <w:lang w:val="en-GB" w:eastAsia="en-US"/>
        </w:rPr>
        <w:t>).</w:t>
      </w:r>
      <w:bookmarkEnd w:id="16"/>
      <w:r w:rsidRPr="00570ACC">
        <w:rPr>
          <w:rFonts w:ascii="Corbel" w:eastAsiaTheme="minorHAnsi" w:hAnsi="Corbel" w:cs="Arial"/>
          <w:sz w:val="22"/>
          <w:szCs w:val="22"/>
          <w:lang w:val="en-GB" w:eastAsia="en-US"/>
        </w:rPr>
        <w:t xml:space="preserve"> </w:t>
      </w:r>
    </w:p>
    <w:p w14:paraId="2C464C60" w14:textId="77777777" w:rsidR="00E915B1" w:rsidRPr="00570ACC" w:rsidRDefault="00E915B1" w:rsidP="00E915B1">
      <w:pPr>
        <w:spacing w:line="276" w:lineRule="auto"/>
        <w:jc w:val="both"/>
        <w:outlineLvl w:val="0"/>
        <w:rPr>
          <w:rFonts w:ascii="Corbel" w:eastAsiaTheme="minorHAnsi" w:hAnsi="Corbel" w:cs="Arial"/>
          <w:sz w:val="22"/>
          <w:szCs w:val="22"/>
          <w:lang w:val="en-GB" w:eastAsia="en-US"/>
        </w:rPr>
      </w:pPr>
    </w:p>
    <w:p w14:paraId="1FECBC3E" w14:textId="034A049A" w:rsidR="00E915B1" w:rsidRDefault="00E915B1" w:rsidP="00E915B1">
      <w:pPr>
        <w:spacing w:line="276" w:lineRule="auto"/>
        <w:jc w:val="both"/>
        <w:outlineLvl w:val="0"/>
      </w:pPr>
      <w:bookmarkStart w:id="17" w:name="_Toc103506562"/>
      <w:r w:rsidRPr="4F6DD0A6">
        <w:rPr>
          <w:rFonts w:ascii="Corbel" w:eastAsiaTheme="minorEastAsia" w:hAnsi="Corbel" w:cs="Arial"/>
          <w:sz w:val="22"/>
          <w:szCs w:val="22"/>
          <w:lang w:val="en-GB" w:eastAsia="en-US"/>
        </w:rPr>
        <w:t xml:space="preserve">In 2020 and 2021, based on the findings of research on the impact of trade policies on women with the realignment of the results framework, the project prioritized support to Small and Medium Enterprises, deliberately reaching out to those operated by women (like the Argan oil cooperatives in Morocco) to contribute to the economic empowerment of women </w:t>
      </w:r>
      <w:proofErr w:type="gramStart"/>
      <w:r w:rsidRPr="4F6DD0A6">
        <w:rPr>
          <w:rFonts w:ascii="Corbel" w:eastAsiaTheme="minorEastAsia" w:hAnsi="Corbel" w:cs="Arial"/>
          <w:sz w:val="22"/>
          <w:szCs w:val="22"/>
          <w:lang w:val="en-GB" w:eastAsia="en-US"/>
        </w:rPr>
        <w:t>in  rural</w:t>
      </w:r>
      <w:proofErr w:type="gramEnd"/>
      <w:r w:rsidRPr="4F6DD0A6">
        <w:rPr>
          <w:rFonts w:ascii="Corbel" w:eastAsiaTheme="minorEastAsia" w:hAnsi="Corbel" w:cs="Arial"/>
          <w:sz w:val="22"/>
          <w:szCs w:val="22"/>
          <w:lang w:val="en-GB" w:eastAsia="en-US"/>
        </w:rPr>
        <w:t xml:space="preserve"> areas (</w:t>
      </w:r>
      <w:r w:rsidRPr="4F6DD0A6">
        <w:rPr>
          <w:rFonts w:ascii="Corbel" w:eastAsiaTheme="minorEastAsia" w:hAnsi="Corbel" w:cs="Arial"/>
          <w:b/>
          <w:bCs/>
          <w:sz w:val="22"/>
          <w:szCs w:val="22"/>
          <w:lang w:val="en-GB" w:eastAsia="en-US"/>
        </w:rPr>
        <w:t>SDG</w:t>
      </w:r>
      <w:r w:rsidRPr="4F6DD0A6">
        <w:rPr>
          <w:rFonts w:ascii="Corbel" w:eastAsiaTheme="minorEastAsia" w:hAnsi="Corbel" w:cs="Arial"/>
          <w:sz w:val="22"/>
          <w:szCs w:val="22"/>
          <w:lang w:val="en-GB" w:eastAsia="en-US"/>
        </w:rPr>
        <w:t xml:space="preserve"> </w:t>
      </w:r>
      <w:r w:rsidRPr="4F6DD0A6">
        <w:rPr>
          <w:rFonts w:ascii="Corbel" w:eastAsiaTheme="minorEastAsia" w:hAnsi="Corbel" w:cs="Arial"/>
          <w:b/>
          <w:bCs/>
          <w:sz w:val="22"/>
          <w:szCs w:val="22"/>
          <w:lang w:val="en-GB" w:eastAsia="en-US"/>
        </w:rPr>
        <w:t>5</w:t>
      </w:r>
      <w:r w:rsidRPr="4F6DD0A6">
        <w:rPr>
          <w:rFonts w:ascii="Corbel" w:eastAsiaTheme="minorEastAsia" w:hAnsi="Corbel" w:cs="Arial"/>
          <w:sz w:val="22"/>
          <w:szCs w:val="22"/>
          <w:lang w:val="en-GB" w:eastAsia="en-US"/>
        </w:rPr>
        <w:t xml:space="preserve">). By fostering transparency in trade policies and through the development of guidelines on the Integrity of border control agencies, the project also aimed to contribute to effective, </w:t>
      </w:r>
      <w:r w:rsidR="00963DF7" w:rsidRPr="4F6DD0A6">
        <w:rPr>
          <w:rFonts w:ascii="Corbel" w:eastAsiaTheme="minorEastAsia" w:hAnsi="Corbel" w:cs="Arial"/>
          <w:sz w:val="22"/>
          <w:szCs w:val="22"/>
          <w:lang w:val="en-GB" w:eastAsia="en-US"/>
        </w:rPr>
        <w:t>accountable,</w:t>
      </w:r>
      <w:r w:rsidRPr="4F6DD0A6">
        <w:rPr>
          <w:rFonts w:ascii="Corbel" w:eastAsiaTheme="minorEastAsia" w:hAnsi="Corbel" w:cs="Arial"/>
          <w:sz w:val="22"/>
          <w:szCs w:val="22"/>
          <w:lang w:val="en-GB" w:eastAsia="en-US"/>
        </w:rPr>
        <w:t xml:space="preserve"> and inclusive institutions (</w:t>
      </w:r>
      <w:r w:rsidRPr="4F6DD0A6">
        <w:rPr>
          <w:rFonts w:ascii="Corbel" w:eastAsiaTheme="minorEastAsia" w:hAnsi="Corbel" w:cs="Arial"/>
          <w:b/>
          <w:bCs/>
          <w:sz w:val="22"/>
          <w:szCs w:val="22"/>
          <w:lang w:val="en-GB" w:eastAsia="en-US"/>
        </w:rPr>
        <w:t>SDG</w:t>
      </w:r>
      <w:r w:rsidRPr="4F6DD0A6">
        <w:rPr>
          <w:rFonts w:ascii="Corbel" w:eastAsiaTheme="minorEastAsia" w:hAnsi="Corbel" w:cs="Arial"/>
          <w:sz w:val="22"/>
          <w:szCs w:val="22"/>
          <w:lang w:val="en-GB" w:eastAsia="en-US"/>
        </w:rPr>
        <w:t xml:space="preserve"> </w:t>
      </w:r>
      <w:r w:rsidRPr="4F6DD0A6">
        <w:rPr>
          <w:rFonts w:ascii="Corbel" w:eastAsiaTheme="minorEastAsia" w:hAnsi="Corbel" w:cs="Arial"/>
          <w:b/>
          <w:bCs/>
          <w:sz w:val="22"/>
          <w:szCs w:val="22"/>
          <w:lang w:val="en-GB" w:eastAsia="en-US"/>
        </w:rPr>
        <w:t>16</w:t>
      </w:r>
      <w:r w:rsidRPr="4F6DD0A6">
        <w:rPr>
          <w:rFonts w:ascii="Corbel" w:eastAsiaTheme="minorEastAsia" w:hAnsi="Corbel" w:cs="Arial"/>
          <w:sz w:val="22"/>
          <w:szCs w:val="22"/>
          <w:lang w:val="en-GB" w:eastAsia="en-US"/>
        </w:rPr>
        <w:t>).</w:t>
      </w:r>
      <w:bookmarkEnd w:id="17"/>
    </w:p>
    <w:p w14:paraId="37E78EE5" w14:textId="35611737" w:rsidR="00E915B1" w:rsidRDefault="00E915B1" w:rsidP="00320B81">
      <w:pPr>
        <w:pStyle w:val="ListParagraph"/>
        <w:tabs>
          <w:tab w:val="left" w:pos="360"/>
        </w:tabs>
        <w:spacing w:line="276" w:lineRule="auto"/>
        <w:ind w:left="0"/>
        <w:contextualSpacing w:val="0"/>
        <w:jc w:val="both"/>
        <w:rPr>
          <w:rFonts w:ascii="Corbel" w:hAnsi="Corbel" w:cs="Arial"/>
          <w:sz w:val="22"/>
          <w:szCs w:val="22"/>
          <w:lang w:val="en-US"/>
        </w:rPr>
      </w:pPr>
    </w:p>
    <w:p w14:paraId="68C470B8" w14:textId="59BFD541" w:rsidR="00CA7A14" w:rsidRPr="007A6DA5" w:rsidRDefault="000817AE" w:rsidP="4F6DD0A6">
      <w:pPr>
        <w:rPr>
          <w:rFonts w:ascii="Corbel" w:eastAsiaTheme="minorEastAsia" w:hAnsi="Corbel" w:cs="Arial"/>
          <w:b/>
          <w:bCs/>
          <w:i/>
          <w:iCs/>
          <w:sz w:val="22"/>
          <w:szCs w:val="22"/>
          <w:lang w:val="en-GB" w:eastAsia="en-US"/>
        </w:rPr>
      </w:pPr>
      <w:r w:rsidRPr="4F6DD0A6">
        <w:rPr>
          <w:rFonts w:ascii="Corbel" w:eastAsiaTheme="minorEastAsia" w:hAnsi="Corbel" w:cs="Arial"/>
          <w:b/>
          <w:bCs/>
          <w:i/>
          <w:iCs/>
          <w:sz w:val="22"/>
          <w:szCs w:val="22"/>
          <w:lang w:val="en-GB" w:eastAsia="en-US"/>
        </w:rPr>
        <w:t>Main challenges and pitfalls identified during project implementation and evaluation</w:t>
      </w:r>
    </w:p>
    <w:p w14:paraId="79C1D36E" w14:textId="42733B89" w:rsidR="00554760" w:rsidRPr="00A557FF" w:rsidRDefault="000817AE" w:rsidP="4F6DD0A6">
      <w:pPr>
        <w:spacing w:line="276" w:lineRule="auto"/>
        <w:jc w:val="both"/>
        <w:outlineLvl w:val="0"/>
        <w:rPr>
          <w:rFonts w:ascii="Corbel" w:eastAsiaTheme="minorEastAsia" w:hAnsi="Corbel" w:cs="Arial"/>
          <w:sz w:val="22"/>
          <w:szCs w:val="22"/>
          <w:lang w:eastAsia="en-US"/>
        </w:rPr>
      </w:pPr>
      <w:bookmarkStart w:id="18" w:name="_Toc103506563"/>
      <w:r w:rsidRPr="4F6DD0A6">
        <w:rPr>
          <w:rFonts w:ascii="Corbel" w:eastAsiaTheme="minorEastAsia" w:hAnsi="Corbel" w:cs="Arial"/>
          <w:sz w:val="22"/>
          <w:szCs w:val="22"/>
          <w:lang w:eastAsia="en-US"/>
        </w:rPr>
        <w:t>The project relied on an overly ambitious scope and under-estimated regional challenges, such as political bottlenecks and poor national and regional coordination mechanisms in the Arab region.</w:t>
      </w:r>
      <w:r w:rsidR="00554760" w:rsidRPr="4F6DD0A6">
        <w:rPr>
          <w:rFonts w:ascii="Corbel" w:eastAsiaTheme="minorEastAsia" w:hAnsi="Corbel" w:cs="Arial"/>
          <w:sz w:val="22"/>
          <w:szCs w:val="22"/>
          <w:lang w:eastAsia="en-US"/>
        </w:rPr>
        <w:t xml:space="preserve"> For example, the project effectively responded to most requests for support from LAS under the project outcome 1 and targeted seven member states - Iraq, Palestine, Egypt, </w:t>
      </w:r>
      <w:proofErr w:type="gramStart"/>
      <w:r w:rsidR="00554760" w:rsidRPr="4F6DD0A6">
        <w:rPr>
          <w:rFonts w:ascii="Corbel" w:eastAsiaTheme="minorEastAsia" w:hAnsi="Corbel" w:cs="Arial"/>
          <w:sz w:val="22"/>
          <w:szCs w:val="22"/>
          <w:lang w:eastAsia="en-US"/>
        </w:rPr>
        <w:t>Morocco</w:t>
      </w:r>
      <w:proofErr w:type="gramEnd"/>
      <w:r w:rsidR="00554760" w:rsidRPr="4F6DD0A6">
        <w:rPr>
          <w:rFonts w:ascii="Corbel" w:eastAsiaTheme="minorEastAsia" w:hAnsi="Corbel" w:cs="Arial"/>
          <w:sz w:val="22"/>
          <w:szCs w:val="22"/>
          <w:lang w:eastAsia="en-US"/>
        </w:rPr>
        <w:t xml:space="preserve"> and Jordan – under outcome 2</w:t>
      </w:r>
      <w:r w:rsidR="00FE4FFE" w:rsidRPr="4F6DD0A6">
        <w:rPr>
          <w:rFonts w:ascii="Corbel" w:eastAsiaTheme="minorEastAsia" w:hAnsi="Corbel" w:cs="Arial"/>
          <w:sz w:val="22"/>
          <w:szCs w:val="22"/>
          <w:lang w:eastAsia="en-US"/>
        </w:rPr>
        <w:t xml:space="preserve"> (with </w:t>
      </w:r>
      <w:r w:rsidR="007E3105" w:rsidRPr="4F6DD0A6">
        <w:rPr>
          <w:rFonts w:ascii="Corbel" w:eastAsiaTheme="minorEastAsia" w:hAnsi="Corbel" w:cs="Arial"/>
          <w:sz w:val="22"/>
          <w:szCs w:val="22"/>
          <w:lang w:eastAsia="en-US"/>
        </w:rPr>
        <w:t>support for the Jordan Licensing Hub being hailed as a success story among stakeholders)</w:t>
      </w:r>
      <w:r w:rsidR="00EC0300" w:rsidRPr="4F6DD0A6">
        <w:rPr>
          <w:rFonts w:ascii="Corbel" w:eastAsiaTheme="minorEastAsia" w:hAnsi="Corbel" w:cs="Arial"/>
          <w:sz w:val="22"/>
          <w:szCs w:val="22"/>
          <w:lang w:eastAsia="en-US"/>
        </w:rPr>
        <w:t>.</w:t>
      </w:r>
      <w:r w:rsidR="007E3105" w:rsidRPr="4F6DD0A6">
        <w:rPr>
          <w:rFonts w:ascii="Corbel" w:eastAsiaTheme="minorEastAsia" w:hAnsi="Corbel" w:cs="Arial"/>
          <w:sz w:val="22"/>
          <w:szCs w:val="22"/>
          <w:lang w:eastAsia="en-US"/>
        </w:rPr>
        <w:t xml:space="preserve"> </w:t>
      </w:r>
      <w:r w:rsidR="00554760" w:rsidRPr="4F6DD0A6">
        <w:rPr>
          <w:rFonts w:ascii="Corbel" w:eastAsiaTheme="minorEastAsia" w:hAnsi="Corbel" w:cs="Arial"/>
          <w:sz w:val="22"/>
          <w:szCs w:val="22"/>
          <w:lang w:eastAsia="en-US"/>
        </w:rPr>
        <w:t xml:space="preserve">However, </w:t>
      </w:r>
      <w:r w:rsidR="00E84112" w:rsidRPr="4F6DD0A6">
        <w:rPr>
          <w:rFonts w:ascii="Corbel" w:eastAsiaTheme="minorEastAsia" w:hAnsi="Corbel" w:cs="Arial"/>
          <w:sz w:val="22"/>
          <w:szCs w:val="22"/>
          <w:lang w:eastAsia="en-US"/>
        </w:rPr>
        <w:t xml:space="preserve">it was challenging to determine how discrete improvements in certain areas contributed to </w:t>
      </w:r>
      <w:r w:rsidR="0033279C" w:rsidRPr="4F6DD0A6">
        <w:rPr>
          <w:rFonts w:ascii="Corbel" w:eastAsiaTheme="minorEastAsia" w:hAnsi="Corbel" w:cs="Arial"/>
          <w:sz w:val="22"/>
          <w:szCs w:val="22"/>
          <w:lang w:eastAsia="en-US"/>
        </w:rPr>
        <w:t>change at scale at</w:t>
      </w:r>
      <w:r w:rsidR="00554760" w:rsidRPr="4F6DD0A6">
        <w:rPr>
          <w:rFonts w:ascii="Corbel" w:eastAsiaTheme="minorEastAsia" w:hAnsi="Corbel" w:cs="Arial"/>
          <w:sz w:val="22"/>
          <w:szCs w:val="22"/>
          <w:lang w:eastAsia="en-US"/>
        </w:rPr>
        <w:t xml:space="preserve"> the outcome</w:t>
      </w:r>
      <w:r w:rsidR="0033279C" w:rsidRPr="4F6DD0A6">
        <w:rPr>
          <w:rFonts w:ascii="Corbel" w:eastAsiaTheme="minorEastAsia" w:hAnsi="Corbel" w:cs="Arial"/>
          <w:sz w:val="22"/>
          <w:szCs w:val="22"/>
          <w:lang w:eastAsia="en-US"/>
        </w:rPr>
        <w:t xml:space="preserve"> level.</w:t>
      </w:r>
      <w:bookmarkEnd w:id="18"/>
    </w:p>
    <w:p w14:paraId="74F00AF3" w14:textId="77777777" w:rsidR="00554760" w:rsidRPr="00A557FF" w:rsidRDefault="00554760" w:rsidP="00A557FF">
      <w:pPr>
        <w:spacing w:line="276" w:lineRule="auto"/>
        <w:jc w:val="both"/>
        <w:outlineLvl w:val="0"/>
        <w:rPr>
          <w:rFonts w:ascii="Corbel" w:eastAsiaTheme="minorHAnsi" w:hAnsi="Corbel" w:cs="Arial"/>
          <w:sz w:val="22"/>
          <w:szCs w:val="22"/>
          <w:lang w:eastAsia="en-US"/>
        </w:rPr>
      </w:pPr>
    </w:p>
    <w:p w14:paraId="5E75B4B0" w14:textId="0C8A47CE" w:rsidR="000817AE" w:rsidRPr="00A557FF" w:rsidRDefault="000817AE" w:rsidP="4F6DD0A6">
      <w:pPr>
        <w:spacing w:line="276" w:lineRule="auto"/>
        <w:jc w:val="both"/>
        <w:outlineLvl w:val="0"/>
        <w:rPr>
          <w:rFonts w:ascii="Corbel" w:eastAsiaTheme="minorEastAsia" w:hAnsi="Corbel" w:cs="Arial"/>
          <w:sz w:val="22"/>
          <w:szCs w:val="22"/>
          <w:lang w:eastAsia="en-US"/>
        </w:rPr>
      </w:pPr>
      <w:bookmarkStart w:id="19" w:name="_Toc103506564"/>
      <w:r w:rsidRPr="4F6DD0A6">
        <w:rPr>
          <w:rFonts w:ascii="Corbel" w:eastAsiaTheme="minorEastAsia" w:hAnsi="Corbel" w:cs="Arial"/>
          <w:sz w:val="22"/>
          <w:szCs w:val="22"/>
          <w:lang w:eastAsia="en-US"/>
        </w:rPr>
        <w:t>The project’s theory of change was conceived following the 2011 Arab uprisings when demands for change ignited in the region made policy makers identify regional economic integration as a potential avenue to generate new and promising opportunities.</w:t>
      </w:r>
      <w:r w:rsidR="00C44255" w:rsidRPr="4F6DD0A6">
        <w:rPr>
          <w:rFonts w:ascii="Corbel" w:eastAsiaTheme="minorEastAsia" w:hAnsi="Corbel" w:cs="Arial"/>
          <w:sz w:val="22"/>
          <w:szCs w:val="22"/>
          <w:lang w:eastAsia="en-US"/>
        </w:rPr>
        <w:t xml:space="preserve"> </w:t>
      </w:r>
      <w:r w:rsidR="005A760B" w:rsidRPr="4F6DD0A6">
        <w:rPr>
          <w:rFonts w:ascii="Corbel" w:eastAsiaTheme="minorEastAsia" w:hAnsi="Corbel" w:cs="Arial"/>
          <w:sz w:val="22"/>
          <w:szCs w:val="22"/>
          <w:lang w:eastAsia="en-US"/>
        </w:rPr>
        <w:t xml:space="preserve">While </w:t>
      </w:r>
      <w:r w:rsidR="00580D36" w:rsidRPr="4F6DD0A6">
        <w:rPr>
          <w:rFonts w:ascii="Corbel" w:eastAsiaTheme="minorEastAsia" w:hAnsi="Corbel" w:cs="Arial"/>
          <w:sz w:val="22"/>
          <w:szCs w:val="22"/>
          <w:lang w:eastAsia="en-US"/>
        </w:rPr>
        <w:t xml:space="preserve">a vague </w:t>
      </w:r>
      <w:r w:rsidR="005A760B" w:rsidRPr="4F6DD0A6">
        <w:rPr>
          <w:rFonts w:ascii="Corbel" w:eastAsiaTheme="minorEastAsia" w:hAnsi="Corbel" w:cs="Arial"/>
          <w:sz w:val="22"/>
          <w:szCs w:val="22"/>
          <w:lang w:eastAsia="en-US"/>
        </w:rPr>
        <w:t>project design and con</w:t>
      </w:r>
      <w:r w:rsidR="00580D36" w:rsidRPr="4F6DD0A6">
        <w:rPr>
          <w:rFonts w:ascii="Corbel" w:eastAsiaTheme="minorEastAsia" w:hAnsi="Corbel" w:cs="Arial"/>
          <w:sz w:val="22"/>
          <w:szCs w:val="22"/>
          <w:lang w:eastAsia="en-US"/>
        </w:rPr>
        <w:t>sul</w:t>
      </w:r>
      <w:r w:rsidR="001D6EF9">
        <w:rPr>
          <w:rFonts w:ascii="Corbel" w:eastAsiaTheme="minorEastAsia" w:hAnsi="Corbel" w:cs="Arial"/>
          <w:sz w:val="22"/>
          <w:szCs w:val="22"/>
          <w:lang w:eastAsia="en-US"/>
        </w:rPr>
        <w:t>t</w:t>
      </w:r>
      <w:r w:rsidR="00580D36" w:rsidRPr="4F6DD0A6">
        <w:rPr>
          <w:rFonts w:ascii="Corbel" w:eastAsiaTheme="minorEastAsia" w:hAnsi="Corbel" w:cs="Arial"/>
          <w:sz w:val="22"/>
          <w:szCs w:val="22"/>
          <w:lang w:eastAsia="en-US"/>
        </w:rPr>
        <w:t xml:space="preserve">ations with partners and stakeholders allowed adjustments in a </w:t>
      </w:r>
      <w:r w:rsidRPr="4F6DD0A6">
        <w:rPr>
          <w:rFonts w:ascii="Corbel" w:eastAsiaTheme="minorEastAsia" w:hAnsi="Corbel" w:cs="Arial"/>
          <w:sz w:val="22"/>
          <w:szCs w:val="22"/>
          <w:lang w:eastAsia="en-US"/>
        </w:rPr>
        <w:t>quickly evolving context</w:t>
      </w:r>
      <w:r w:rsidR="00580D36" w:rsidRPr="4F6DD0A6">
        <w:rPr>
          <w:rFonts w:ascii="Corbel" w:eastAsiaTheme="minorEastAsia" w:hAnsi="Corbel" w:cs="Arial"/>
          <w:sz w:val="22"/>
          <w:szCs w:val="22"/>
          <w:lang w:eastAsia="en-US"/>
        </w:rPr>
        <w:t xml:space="preserve">, </w:t>
      </w:r>
      <w:r w:rsidRPr="4F6DD0A6">
        <w:rPr>
          <w:rFonts w:ascii="Corbel" w:eastAsiaTheme="minorEastAsia" w:hAnsi="Corbel" w:cs="Arial"/>
          <w:sz w:val="22"/>
          <w:szCs w:val="22"/>
          <w:lang w:eastAsia="en-US"/>
        </w:rPr>
        <w:t>an inadequate RBM strategy at the design phase</w:t>
      </w:r>
      <w:r w:rsidR="0044254B" w:rsidRPr="4F6DD0A6">
        <w:rPr>
          <w:rFonts w:ascii="Corbel" w:eastAsiaTheme="minorEastAsia" w:hAnsi="Corbel" w:cs="Arial"/>
          <w:sz w:val="22"/>
          <w:szCs w:val="22"/>
          <w:lang w:eastAsia="en-US"/>
        </w:rPr>
        <w:t>, with</w:t>
      </w:r>
      <w:r w:rsidRPr="4F6DD0A6">
        <w:rPr>
          <w:rFonts w:ascii="Corbel" w:eastAsiaTheme="minorEastAsia" w:hAnsi="Corbel" w:cs="Arial"/>
          <w:sz w:val="22"/>
          <w:szCs w:val="22"/>
          <w:lang w:eastAsia="en-US"/>
        </w:rPr>
        <w:t xml:space="preserve"> </w:t>
      </w:r>
      <w:r w:rsidR="00E605B2" w:rsidRPr="4F6DD0A6">
        <w:rPr>
          <w:rFonts w:ascii="Corbel" w:eastAsiaTheme="minorEastAsia" w:hAnsi="Corbel" w:cs="Arial"/>
          <w:sz w:val="22"/>
          <w:szCs w:val="22"/>
          <w:lang w:eastAsia="en-US"/>
        </w:rPr>
        <w:t xml:space="preserve">weak metrics and </w:t>
      </w:r>
      <w:r w:rsidRPr="4F6DD0A6">
        <w:rPr>
          <w:rFonts w:ascii="Corbel" w:eastAsiaTheme="minorEastAsia" w:hAnsi="Corbel" w:cs="Arial"/>
          <w:sz w:val="22"/>
          <w:szCs w:val="22"/>
          <w:lang w:eastAsia="en-US"/>
        </w:rPr>
        <w:t>weakly formulated causal links between inputs, outputs</w:t>
      </w:r>
      <w:r w:rsidR="007B3F0A" w:rsidRPr="4F6DD0A6">
        <w:rPr>
          <w:rFonts w:ascii="Corbel" w:eastAsiaTheme="minorEastAsia" w:hAnsi="Corbel" w:cs="Arial"/>
          <w:sz w:val="22"/>
          <w:szCs w:val="22"/>
          <w:lang w:eastAsia="en-US"/>
        </w:rPr>
        <w:t>,</w:t>
      </w:r>
      <w:r w:rsidRPr="4F6DD0A6">
        <w:rPr>
          <w:rFonts w:ascii="Corbel" w:eastAsiaTheme="minorEastAsia" w:hAnsi="Corbel" w:cs="Arial"/>
          <w:sz w:val="22"/>
          <w:szCs w:val="22"/>
          <w:lang w:eastAsia="en-US"/>
        </w:rPr>
        <w:t xml:space="preserve"> and outcomes</w:t>
      </w:r>
      <w:r w:rsidR="007B3F0A" w:rsidRPr="4F6DD0A6">
        <w:rPr>
          <w:rFonts w:ascii="Corbel" w:eastAsiaTheme="minorEastAsia" w:hAnsi="Corbel" w:cs="Arial"/>
          <w:sz w:val="22"/>
          <w:szCs w:val="22"/>
          <w:lang w:eastAsia="en-US"/>
        </w:rPr>
        <w:t xml:space="preserve">, made it challenging to determine if </w:t>
      </w:r>
      <w:r w:rsidR="00E5653B" w:rsidRPr="4F6DD0A6">
        <w:rPr>
          <w:rFonts w:ascii="Corbel" w:eastAsiaTheme="minorEastAsia" w:hAnsi="Corbel" w:cs="Arial"/>
          <w:sz w:val="22"/>
          <w:szCs w:val="22"/>
          <w:lang w:eastAsia="en-US"/>
        </w:rPr>
        <w:t>project objectives were achieved</w:t>
      </w:r>
      <w:r w:rsidRPr="4F6DD0A6">
        <w:rPr>
          <w:rFonts w:ascii="Corbel" w:eastAsiaTheme="minorEastAsia" w:hAnsi="Corbel" w:cs="Arial"/>
          <w:sz w:val="22"/>
          <w:szCs w:val="22"/>
          <w:lang w:eastAsia="en-US"/>
        </w:rPr>
        <w:t>.</w:t>
      </w:r>
      <w:bookmarkEnd w:id="19"/>
    </w:p>
    <w:p w14:paraId="2C5A6A25" w14:textId="77777777" w:rsidR="00F82F29" w:rsidRDefault="00F82F29" w:rsidP="00320B81">
      <w:pPr>
        <w:pStyle w:val="ListParagraph"/>
        <w:tabs>
          <w:tab w:val="left" w:pos="360"/>
        </w:tabs>
        <w:spacing w:line="276" w:lineRule="auto"/>
        <w:ind w:left="0"/>
        <w:contextualSpacing w:val="0"/>
        <w:jc w:val="both"/>
        <w:rPr>
          <w:rFonts w:ascii="Corbel" w:hAnsi="Corbel" w:cs="Arial"/>
          <w:sz w:val="22"/>
          <w:szCs w:val="22"/>
          <w:lang w:val="en-US"/>
        </w:rPr>
      </w:pPr>
    </w:p>
    <w:p w14:paraId="4FF60106" w14:textId="215318D2" w:rsidR="00F82F29" w:rsidRPr="00F82F29" w:rsidRDefault="00F82F29" w:rsidP="00320B81">
      <w:pPr>
        <w:pStyle w:val="ListParagraph"/>
        <w:tabs>
          <w:tab w:val="left" w:pos="360"/>
        </w:tabs>
        <w:spacing w:line="276" w:lineRule="auto"/>
        <w:ind w:left="0"/>
        <w:contextualSpacing w:val="0"/>
        <w:jc w:val="both"/>
        <w:rPr>
          <w:rFonts w:ascii="Corbel" w:hAnsi="Corbel" w:cs="Arial"/>
          <w:sz w:val="22"/>
          <w:szCs w:val="22"/>
        </w:rPr>
      </w:pPr>
    </w:p>
    <w:p w14:paraId="46EBFC43" w14:textId="77777777" w:rsidR="00591C58" w:rsidRPr="00EF1F01" w:rsidRDefault="00591C58">
      <w:pPr>
        <w:spacing w:after="160" w:line="259" w:lineRule="auto"/>
        <w:rPr>
          <w:rFonts w:ascii="Corbel" w:eastAsia="Times New Roman" w:hAnsi="Corbel" w:cs="Arial"/>
          <w:b/>
          <w:color w:val="1F497D"/>
          <w:sz w:val="28"/>
          <w:szCs w:val="28"/>
          <w:lang w:val="en-GB" w:eastAsia="x-none"/>
        </w:rPr>
      </w:pPr>
      <w:r w:rsidRPr="00EF1F01">
        <w:rPr>
          <w:rFonts w:ascii="Corbel" w:hAnsi="Corbel" w:cs="Arial"/>
          <w:b/>
          <w:color w:val="1F497D"/>
          <w:sz w:val="28"/>
          <w:szCs w:val="28"/>
          <w:lang w:val="en-GB"/>
        </w:rPr>
        <w:br w:type="page"/>
      </w:r>
    </w:p>
    <w:p w14:paraId="034A2EB0" w14:textId="29F569E3" w:rsidR="00D12064" w:rsidRPr="00EF1F01" w:rsidRDefault="007825D0" w:rsidP="000168EC">
      <w:pPr>
        <w:pStyle w:val="Heading1"/>
        <w:numPr>
          <w:ilvl w:val="0"/>
          <w:numId w:val="21"/>
        </w:numPr>
        <w:rPr>
          <w:lang w:val="en-GB"/>
        </w:rPr>
      </w:pPr>
      <w:bookmarkStart w:id="20" w:name="_Toc103506565"/>
      <w:r w:rsidRPr="00EF1F01">
        <w:rPr>
          <w:lang w:val="en-GB"/>
        </w:rPr>
        <w:lastRenderedPageBreak/>
        <w:t>Introduction</w:t>
      </w:r>
      <w:bookmarkEnd w:id="20"/>
    </w:p>
    <w:p w14:paraId="0B58BCFD" w14:textId="34F5F1DE" w:rsidR="007825D0" w:rsidRPr="00EF1F01" w:rsidRDefault="00A06682" w:rsidP="007825D0">
      <w:pPr>
        <w:spacing w:after="160" w:line="259" w:lineRule="auto"/>
        <w:rPr>
          <w:rFonts w:ascii="Corbel" w:hAnsi="Corbel" w:cs="Arial"/>
          <w:b/>
          <w:color w:val="1F497D"/>
          <w:sz w:val="28"/>
          <w:szCs w:val="28"/>
          <w:lang w:val="en-GB"/>
        </w:rPr>
      </w:pPr>
      <w:r>
        <w:rPr>
          <w:rFonts w:ascii="Corbel" w:hAnsi="Corbel" w:cs="Arial"/>
          <w:sz w:val="22"/>
          <w:szCs w:val="22"/>
          <w:lang w:val="en-GB"/>
        </w:rPr>
        <w:pict w14:anchorId="3DE08433">
          <v:rect id="_x0000_i1026" style="width:522pt;height:1.5pt" o:hralign="center" o:hrstd="t" o:hrnoshade="t" o:hr="t" fillcolor="#17365d" stroked="f"/>
        </w:pict>
      </w:r>
    </w:p>
    <w:p w14:paraId="6588D48C" w14:textId="4D4EE822" w:rsidR="005C719E" w:rsidRPr="005C719E" w:rsidRDefault="005C719E" w:rsidP="005C719E">
      <w:pPr>
        <w:spacing w:line="276" w:lineRule="auto"/>
        <w:jc w:val="both"/>
        <w:outlineLvl w:val="0"/>
        <w:rPr>
          <w:rFonts w:ascii="Corbel" w:eastAsiaTheme="minorHAnsi" w:hAnsi="Corbel" w:cs="Arial"/>
          <w:b/>
          <w:bCs/>
          <w:sz w:val="22"/>
          <w:szCs w:val="22"/>
          <w:lang w:val="en-GB" w:eastAsia="en-US"/>
        </w:rPr>
      </w:pPr>
      <w:bookmarkStart w:id="21" w:name="_Toc103506566"/>
      <w:r w:rsidRPr="005C719E">
        <w:rPr>
          <w:rFonts w:ascii="Corbel" w:eastAsiaTheme="minorHAnsi" w:hAnsi="Corbel" w:cs="Arial"/>
          <w:b/>
          <w:bCs/>
          <w:sz w:val="22"/>
          <w:szCs w:val="22"/>
          <w:lang w:val="en-GB" w:eastAsia="en-US"/>
        </w:rPr>
        <w:t>Background</w:t>
      </w:r>
      <w:r>
        <w:rPr>
          <w:rFonts w:ascii="Corbel" w:eastAsiaTheme="minorHAnsi" w:hAnsi="Corbel" w:cs="Arial"/>
          <w:b/>
          <w:bCs/>
          <w:sz w:val="22"/>
          <w:szCs w:val="22"/>
          <w:lang w:val="en-GB" w:eastAsia="en-US"/>
        </w:rPr>
        <w:t xml:space="preserve"> and regional context</w:t>
      </w:r>
      <w:bookmarkEnd w:id="21"/>
    </w:p>
    <w:p w14:paraId="6834EE2E" w14:textId="0DA11B01" w:rsidR="00EB3149" w:rsidRDefault="00007891" w:rsidP="00EB3149">
      <w:pPr>
        <w:spacing w:line="276" w:lineRule="auto"/>
        <w:jc w:val="both"/>
        <w:outlineLvl w:val="0"/>
        <w:rPr>
          <w:rFonts w:ascii="Corbel" w:hAnsi="Corbel"/>
          <w:sz w:val="22"/>
          <w:szCs w:val="22"/>
        </w:rPr>
      </w:pPr>
      <w:bookmarkStart w:id="22" w:name="_Toc103506567"/>
      <w:r>
        <w:rPr>
          <w:rFonts w:ascii="Corbel" w:hAnsi="Corbel"/>
          <w:sz w:val="22"/>
          <w:szCs w:val="22"/>
        </w:rPr>
        <w:t xml:space="preserve">At the onset of the project in 2017, </w:t>
      </w:r>
      <w:r w:rsidR="00EB3149" w:rsidRPr="00EB3149">
        <w:rPr>
          <w:rFonts w:ascii="Corbel" w:hAnsi="Corbel"/>
          <w:sz w:val="22"/>
          <w:szCs w:val="22"/>
        </w:rPr>
        <w:t xml:space="preserve">Arab countries </w:t>
      </w:r>
      <w:r>
        <w:rPr>
          <w:rFonts w:ascii="Corbel" w:hAnsi="Corbel"/>
          <w:sz w:val="22"/>
          <w:szCs w:val="22"/>
        </w:rPr>
        <w:t>displ</w:t>
      </w:r>
      <w:r w:rsidR="000B41DA">
        <w:rPr>
          <w:rFonts w:ascii="Corbel" w:hAnsi="Corbel"/>
          <w:sz w:val="22"/>
          <w:szCs w:val="22"/>
        </w:rPr>
        <w:t>ayed</w:t>
      </w:r>
      <w:r w:rsidR="00EB3149" w:rsidRPr="00EB3149">
        <w:rPr>
          <w:rFonts w:ascii="Corbel" w:hAnsi="Corbel"/>
          <w:sz w:val="22"/>
          <w:szCs w:val="22"/>
        </w:rPr>
        <w:t xml:space="preserve"> the lowest rate of intraregional trade in the world and </w:t>
      </w:r>
      <w:r w:rsidR="000B41DA">
        <w:rPr>
          <w:rFonts w:ascii="Corbel" w:hAnsi="Corbel"/>
          <w:sz w:val="22"/>
          <w:szCs w:val="22"/>
        </w:rPr>
        <w:t>were</w:t>
      </w:r>
      <w:r w:rsidR="00EB3149" w:rsidRPr="00EB3149">
        <w:rPr>
          <w:rFonts w:ascii="Corbel" w:hAnsi="Corbel"/>
          <w:sz w:val="22"/>
          <w:szCs w:val="22"/>
        </w:rPr>
        <w:t xml:space="preserve"> less open to trade with the rest of the world </w:t>
      </w:r>
      <w:r w:rsidR="000B41DA">
        <w:rPr>
          <w:rFonts w:ascii="Corbel" w:hAnsi="Corbel"/>
          <w:sz w:val="22"/>
          <w:szCs w:val="22"/>
        </w:rPr>
        <w:t>compared to</w:t>
      </w:r>
      <w:r w:rsidR="00EB3149" w:rsidRPr="00EB3149">
        <w:rPr>
          <w:rFonts w:ascii="Corbel" w:hAnsi="Corbel"/>
          <w:sz w:val="22"/>
          <w:szCs w:val="22"/>
        </w:rPr>
        <w:t xml:space="preserve"> rapidly growing economies.</w:t>
      </w:r>
      <w:r w:rsidR="00EB3149" w:rsidRPr="00EB3149">
        <w:rPr>
          <w:rFonts w:ascii="Corbel" w:hAnsi="Corbel"/>
          <w:sz w:val="22"/>
          <w:szCs w:val="22"/>
          <w:vertAlign w:val="superscript"/>
        </w:rPr>
        <w:footnoteReference w:id="14"/>
      </w:r>
      <w:r w:rsidR="00EB3149" w:rsidRPr="00EB3149">
        <w:rPr>
          <w:rFonts w:ascii="Corbel" w:hAnsi="Corbel"/>
          <w:sz w:val="22"/>
          <w:szCs w:val="22"/>
          <w:vertAlign w:val="superscript"/>
        </w:rPr>
        <w:t xml:space="preserve"> </w:t>
      </w:r>
      <w:r w:rsidR="00252931">
        <w:rPr>
          <w:rFonts w:ascii="Corbel" w:hAnsi="Corbel"/>
          <w:sz w:val="22"/>
          <w:szCs w:val="22"/>
          <w:vertAlign w:val="superscript"/>
        </w:rPr>
        <w:t xml:space="preserve"> </w:t>
      </w:r>
      <w:r w:rsidR="00D9103E">
        <w:rPr>
          <w:rFonts w:ascii="Corbel" w:hAnsi="Corbel"/>
          <w:sz w:val="22"/>
          <w:szCs w:val="22"/>
        </w:rPr>
        <w:t xml:space="preserve"> </w:t>
      </w:r>
      <w:r w:rsidR="005915E9">
        <w:rPr>
          <w:rFonts w:ascii="Corbel" w:hAnsi="Corbel"/>
          <w:sz w:val="22"/>
          <w:szCs w:val="22"/>
        </w:rPr>
        <w:t xml:space="preserve">Modest signs of improvements </w:t>
      </w:r>
      <w:r w:rsidR="007F776B">
        <w:rPr>
          <w:rFonts w:ascii="Corbel" w:hAnsi="Corbel"/>
          <w:sz w:val="22"/>
          <w:szCs w:val="22"/>
        </w:rPr>
        <w:t>appeared during project implementation</w:t>
      </w:r>
      <w:r w:rsidR="00A713C3">
        <w:rPr>
          <w:rFonts w:ascii="Corbel" w:hAnsi="Corbel"/>
          <w:sz w:val="22"/>
          <w:szCs w:val="22"/>
        </w:rPr>
        <w:t>.</w:t>
      </w:r>
      <w:r w:rsidR="007F776B">
        <w:rPr>
          <w:rFonts w:ascii="Corbel" w:hAnsi="Corbel"/>
          <w:sz w:val="22"/>
          <w:szCs w:val="22"/>
        </w:rPr>
        <w:t xml:space="preserve"> </w:t>
      </w:r>
      <w:r w:rsidR="00A713C3">
        <w:rPr>
          <w:rFonts w:ascii="Corbel" w:hAnsi="Corbel"/>
          <w:sz w:val="22"/>
          <w:szCs w:val="22"/>
        </w:rPr>
        <w:t>F</w:t>
      </w:r>
      <w:r w:rsidR="007F776B">
        <w:rPr>
          <w:rFonts w:ascii="Corbel" w:hAnsi="Corbel"/>
          <w:sz w:val="22"/>
          <w:szCs w:val="22"/>
        </w:rPr>
        <w:t>or example</w:t>
      </w:r>
      <w:r w:rsidR="00A713C3">
        <w:rPr>
          <w:rFonts w:ascii="Corbel" w:hAnsi="Corbel"/>
          <w:sz w:val="22"/>
          <w:szCs w:val="22"/>
        </w:rPr>
        <w:t>,</w:t>
      </w:r>
      <w:r w:rsidR="007F776B">
        <w:rPr>
          <w:rFonts w:ascii="Corbel" w:hAnsi="Corbel"/>
          <w:sz w:val="22"/>
          <w:szCs w:val="22"/>
        </w:rPr>
        <w:t xml:space="preserve"> </w:t>
      </w:r>
      <w:r w:rsidR="00EB3149" w:rsidRPr="00EB3149">
        <w:rPr>
          <w:rFonts w:ascii="Corbel" w:hAnsi="Corbel"/>
          <w:sz w:val="22"/>
          <w:szCs w:val="22"/>
        </w:rPr>
        <w:t xml:space="preserve">2019, </w:t>
      </w:r>
      <w:r w:rsidR="00A713C3">
        <w:rPr>
          <w:rFonts w:ascii="Corbel" w:hAnsi="Corbel"/>
          <w:sz w:val="22"/>
          <w:szCs w:val="22"/>
        </w:rPr>
        <w:t xml:space="preserve">registered an increase in </w:t>
      </w:r>
      <w:r w:rsidR="00EB3149" w:rsidRPr="00EB3149">
        <w:rPr>
          <w:rFonts w:ascii="Corbel" w:hAnsi="Corbel"/>
          <w:sz w:val="22"/>
          <w:szCs w:val="22"/>
        </w:rPr>
        <w:t xml:space="preserve">intra-Arab export </w:t>
      </w:r>
      <w:r w:rsidR="00013733">
        <w:rPr>
          <w:rFonts w:ascii="Corbel" w:hAnsi="Corbel"/>
          <w:sz w:val="22"/>
          <w:szCs w:val="22"/>
        </w:rPr>
        <w:t>(</w:t>
      </w:r>
      <w:r w:rsidR="00EB3149" w:rsidRPr="00EB3149">
        <w:rPr>
          <w:rFonts w:ascii="Corbel" w:hAnsi="Corbel"/>
          <w:sz w:val="22"/>
          <w:szCs w:val="22"/>
        </w:rPr>
        <w:t>11.1 percent of total Arab exports</w:t>
      </w:r>
      <w:r w:rsidR="00013733">
        <w:rPr>
          <w:rFonts w:ascii="Corbel" w:hAnsi="Corbel"/>
          <w:sz w:val="22"/>
          <w:szCs w:val="22"/>
        </w:rPr>
        <w:t>,</w:t>
      </w:r>
      <w:r w:rsidR="00EB3149" w:rsidRPr="00EB3149">
        <w:rPr>
          <w:rFonts w:ascii="Corbel" w:hAnsi="Corbel"/>
          <w:sz w:val="22"/>
          <w:szCs w:val="22"/>
        </w:rPr>
        <w:t xml:space="preserve"> compared to 10.4 percent in 2018)</w:t>
      </w:r>
      <w:r w:rsidR="003F4497">
        <w:rPr>
          <w:rFonts w:ascii="Corbel" w:hAnsi="Corbel"/>
          <w:sz w:val="22"/>
          <w:szCs w:val="22"/>
        </w:rPr>
        <w:t xml:space="preserve">. Still </w:t>
      </w:r>
      <w:r w:rsidR="00A02EEA">
        <w:rPr>
          <w:rFonts w:ascii="Corbel" w:hAnsi="Corbel"/>
          <w:sz w:val="22"/>
          <w:szCs w:val="22"/>
        </w:rPr>
        <w:t xml:space="preserve">trade with other parts of the world </w:t>
      </w:r>
      <w:r w:rsidR="00963DF7">
        <w:rPr>
          <w:rFonts w:ascii="Corbel" w:hAnsi="Corbel"/>
          <w:sz w:val="22"/>
          <w:szCs w:val="22"/>
        </w:rPr>
        <w:t>absorbs</w:t>
      </w:r>
      <w:r w:rsidR="00A02EEA">
        <w:rPr>
          <w:rFonts w:ascii="Corbel" w:hAnsi="Corbel"/>
          <w:sz w:val="22"/>
          <w:szCs w:val="22"/>
        </w:rPr>
        <w:t xml:space="preserve"> most </w:t>
      </w:r>
      <w:r w:rsidR="00C15A8D">
        <w:rPr>
          <w:rFonts w:ascii="Corbel" w:hAnsi="Corbel"/>
          <w:sz w:val="22"/>
          <w:szCs w:val="22"/>
        </w:rPr>
        <w:t xml:space="preserve">of Arab countries’ </w:t>
      </w:r>
      <w:r w:rsidR="00AC4A01">
        <w:rPr>
          <w:rFonts w:ascii="Corbel" w:hAnsi="Corbel"/>
          <w:sz w:val="22"/>
          <w:szCs w:val="22"/>
        </w:rPr>
        <w:t>transaction, especially with Asia</w:t>
      </w:r>
      <w:r w:rsidR="00D3118D">
        <w:rPr>
          <w:rFonts w:ascii="Corbel" w:hAnsi="Corbel"/>
          <w:sz w:val="22"/>
          <w:szCs w:val="22"/>
        </w:rPr>
        <w:t>, which counts for</w:t>
      </w:r>
      <w:r w:rsidR="00EB3149" w:rsidRPr="00EB3149">
        <w:rPr>
          <w:rFonts w:ascii="Corbel" w:hAnsi="Corbel"/>
          <w:sz w:val="22"/>
          <w:szCs w:val="22"/>
        </w:rPr>
        <w:t xml:space="preserve"> 56.3 percent of total exports</w:t>
      </w:r>
      <w:r w:rsidR="00D3118D">
        <w:rPr>
          <w:rFonts w:ascii="Corbel" w:hAnsi="Corbel"/>
          <w:sz w:val="22"/>
          <w:szCs w:val="22"/>
        </w:rPr>
        <w:t xml:space="preserve"> and</w:t>
      </w:r>
      <w:r w:rsidR="00EB3149" w:rsidRPr="00EB3149">
        <w:rPr>
          <w:rFonts w:ascii="Corbel" w:hAnsi="Corbel"/>
          <w:sz w:val="22"/>
          <w:szCs w:val="22"/>
        </w:rPr>
        <w:t xml:space="preserve"> 35.1 percent of imports</w:t>
      </w:r>
      <w:r w:rsidR="0058217C">
        <w:rPr>
          <w:rFonts w:ascii="Corbel" w:hAnsi="Corbel"/>
          <w:sz w:val="22"/>
          <w:szCs w:val="22"/>
        </w:rPr>
        <w:t>.</w:t>
      </w:r>
      <w:r w:rsidR="00EB3149" w:rsidRPr="00EB3149">
        <w:rPr>
          <w:rFonts w:ascii="Corbel" w:hAnsi="Corbel"/>
          <w:sz w:val="22"/>
          <w:szCs w:val="22"/>
          <w:vertAlign w:val="superscript"/>
        </w:rPr>
        <w:footnoteReference w:id="15"/>
      </w:r>
      <w:bookmarkEnd w:id="22"/>
      <w:r w:rsidR="00EB3149" w:rsidRPr="00EB3149">
        <w:rPr>
          <w:rFonts w:ascii="Corbel" w:hAnsi="Corbel"/>
          <w:sz w:val="22"/>
          <w:szCs w:val="22"/>
        </w:rPr>
        <w:t xml:space="preserve"> </w:t>
      </w:r>
    </w:p>
    <w:p w14:paraId="53EDA538" w14:textId="77777777" w:rsidR="00C84727" w:rsidRPr="00EB3149" w:rsidRDefault="00C84727" w:rsidP="00EB3149">
      <w:pPr>
        <w:spacing w:line="276" w:lineRule="auto"/>
        <w:jc w:val="both"/>
        <w:outlineLvl w:val="0"/>
        <w:rPr>
          <w:rFonts w:ascii="Corbel" w:hAnsi="Corbel"/>
          <w:sz w:val="22"/>
          <w:szCs w:val="22"/>
        </w:rPr>
      </w:pPr>
    </w:p>
    <w:p w14:paraId="58E05EB6" w14:textId="14A1D432" w:rsidR="00EB3149" w:rsidRPr="00EB3149" w:rsidRDefault="00EB3149" w:rsidP="00EB3149">
      <w:pPr>
        <w:spacing w:line="276" w:lineRule="auto"/>
        <w:jc w:val="both"/>
        <w:outlineLvl w:val="0"/>
        <w:rPr>
          <w:rFonts w:ascii="Corbel" w:hAnsi="Corbel"/>
          <w:sz w:val="22"/>
          <w:szCs w:val="22"/>
        </w:rPr>
      </w:pPr>
      <w:bookmarkStart w:id="23" w:name="_Toc103506568"/>
      <w:r w:rsidRPr="00EB3149">
        <w:rPr>
          <w:rFonts w:ascii="Corbel" w:hAnsi="Corbel"/>
          <w:sz w:val="22"/>
          <w:szCs w:val="22"/>
        </w:rPr>
        <w:t>Trade in the Arab region is also significantly affected by global development in the oil market: fuel exports make up to an average 45 percent of total merchandise exports compared to a global average of 12 percent</w:t>
      </w:r>
      <w:r w:rsidRPr="00EB3149">
        <w:rPr>
          <w:rFonts w:ascii="Corbel" w:hAnsi="Corbel"/>
          <w:sz w:val="22"/>
          <w:szCs w:val="22"/>
          <w:vertAlign w:val="superscript"/>
        </w:rPr>
        <w:footnoteReference w:id="16"/>
      </w:r>
      <w:r w:rsidRPr="00EB3149">
        <w:rPr>
          <w:rFonts w:ascii="Corbel" w:hAnsi="Corbel"/>
          <w:sz w:val="22"/>
          <w:szCs w:val="22"/>
        </w:rPr>
        <w:t>.</w:t>
      </w:r>
      <w:r w:rsidR="00FA1F78">
        <w:rPr>
          <w:rFonts w:ascii="Corbel" w:hAnsi="Corbel"/>
          <w:sz w:val="22"/>
          <w:szCs w:val="22"/>
        </w:rPr>
        <w:t xml:space="preserve"> </w:t>
      </w:r>
      <w:r w:rsidRPr="00EB3149">
        <w:rPr>
          <w:rFonts w:ascii="Corbel" w:hAnsi="Corbel"/>
          <w:sz w:val="22"/>
          <w:szCs w:val="22"/>
        </w:rPr>
        <w:t xml:space="preserve">Intra-Arab trade in crude oil accounted for 15.8 percent of total intra-Arab exports in 2019. Non-oil manufacturing goods accounted for 30.6 percent of the total intra-Arab exports </w:t>
      </w:r>
      <w:r w:rsidR="00475202">
        <w:rPr>
          <w:rFonts w:ascii="Corbel" w:hAnsi="Corbel"/>
          <w:sz w:val="22"/>
          <w:szCs w:val="22"/>
        </w:rPr>
        <w:t xml:space="preserve">and </w:t>
      </w:r>
      <w:r w:rsidRPr="00EB3149">
        <w:rPr>
          <w:rFonts w:ascii="Corbel" w:hAnsi="Corbel"/>
          <w:sz w:val="22"/>
          <w:szCs w:val="22"/>
        </w:rPr>
        <w:t>export of agricultural goods 8 percent of total exports.</w:t>
      </w:r>
      <w:r w:rsidRPr="00EB3149">
        <w:rPr>
          <w:rFonts w:ascii="Corbel" w:hAnsi="Corbel"/>
          <w:sz w:val="22"/>
          <w:szCs w:val="22"/>
          <w:vertAlign w:val="superscript"/>
        </w:rPr>
        <w:footnoteReference w:id="17"/>
      </w:r>
      <w:r w:rsidR="004470E4" w:rsidRPr="004470E4">
        <w:rPr>
          <w:rFonts w:ascii="Corbel" w:hAnsi="Corbel"/>
          <w:sz w:val="22"/>
          <w:szCs w:val="22"/>
        </w:rPr>
        <w:t xml:space="preserve"> </w:t>
      </w:r>
      <w:r w:rsidR="004470E4" w:rsidRPr="00EB3149">
        <w:rPr>
          <w:rFonts w:ascii="Corbel" w:hAnsi="Corbel"/>
          <w:sz w:val="22"/>
          <w:szCs w:val="22"/>
        </w:rPr>
        <w:t>Trade in services like tourism and travel accounted for substantial incomes for many Arab countries like Egypt, Jordan, Morocco, and Tunisia among others. The deficit in trade in services of Arab economies decreased in 2019 by 1.5 percent due to the decline in service payment and higher receipts (at 3.7 percent).</w:t>
      </w:r>
      <w:r w:rsidR="004470E4" w:rsidRPr="00EB3149">
        <w:rPr>
          <w:rFonts w:ascii="Corbel" w:hAnsi="Corbel"/>
          <w:sz w:val="22"/>
          <w:szCs w:val="22"/>
          <w:vertAlign w:val="superscript"/>
        </w:rPr>
        <w:footnoteReference w:id="18"/>
      </w:r>
      <w:bookmarkEnd w:id="23"/>
      <w:r w:rsidR="008530BA" w:rsidRPr="008530BA">
        <w:rPr>
          <w:rFonts w:ascii="Corbel" w:hAnsi="Corbel"/>
          <w:sz w:val="22"/>
          <w:szCs w:val="22"/>
        </w:rPr>
        <w:t xml:space="preserve"> </w:t>
      </w:r>
    </w:p>
    <w:p w14:paraId="548FA923" w14:textId="4BA39069" w:rsidR="00475202" w:rsidRDefault="00475202" w:rsidP="00EB3149">
      <w:pPr>
        <w:spacing w:line="276" w:lineRule="auto"/>
        <w:jc w:val="both"/>
        <w:outlineLvl w:val="0"/>
        <w:rPr>
          <w:rFonts w:ascii="Corbel" w:hAnsi="Corbel"/>
          <w:sz w:val="22"/>
          <w:szCs w:val="22"/>
        </w:rPr>
      </w:pPr>
    </w:p>
    <w:p w14:paraId="274D3FD9" w14:textId="28484C91" w:rsidR="00AD0D48" w:rsidRDefault="00903080" w:rsidP="001655EC">
      <w:pPr>
        <w:spacing w:line="276" w:lineRule="auto"/>
        <w:jc w:val="both"/>
        <w:outlineLvl w:val="0"/>
        <w:rPr>
          <w:rFonts w:ascii="Corbel" w:hAnsi="Corbel"/>
          <w:sz w:val="22"/>
          <w:szCs w:val="22"/>
        </w:rPr>
      </w:pPr>
      <w:bookmarkStart w:id="26" w:name="_Toc103506569"/>
      <w:r w:rsidRPr="00903080">
        <w:rPr>
          <w:rFonts w:ascii="Corbel" w:hAnsi="Corbel"/>
          <w:sz w:val="22"/>
          <w:szCs w:val="22"/>
        </w:rPr>
        <w:t>The COVID-19 pandemic determined GDP contraction in 2020, and the uncertain recovery thereafter,</w:t>
      </w:r>
      <w:r w:rsidRPr="00903080">
        <w:rPr>
          <w:rFonts w:ascii="Corbel" w:hAnsi="Corbel"/>
          <w:sz w:val="22"/>
          <w:szCs w:val="22"/>
          <w:vertAlign w:val="superscript"/>
        </w:rPr>
        <w:footnoteReference w:id="19"/>
      </w:r>
      <w:r w:rsidR="00ED78A4">
        <w:rPr>
          <w:rFonts w:ascii="Corbel" w:hAnsi="Corbel"/>
          <w:sz w:val="22"/>
          <w:szCs w:val="22"/>
        </w:rPr>
        <w:t xml:space="preserve"> with the </w:t>
      </w:r>
      <w:r w:rsidR="00434F67" w:rsidRPr="00570ACC">
        <w:rPr>
          <w:rFonts w:ascii="Corbel" w:hAnsi="Corbel"/>
          <w:sz w:val="22"/>
          <w:szCs w:val="22"/>
        </w:rPr>
        <w:t>IMF project</w:t>
      </w:r>
      <w:r w:rsidR="006B0C93">
        <w:rPr>
          <w:rFonts w:ascii="Corbel" w:hAnsi="Corbel"/>
          <w:sz w:val="22"/>
          <w:szCs w:val="22"/>
        </w:rPr>
        <w:t>ing</w:t>
      </w:r>
      <w:r w:rsidR="00434F67" w:rsidRPr="00570ACC">
        <w:rPr>
          <w:rFonts w:ascii="Corbel" w:hAnsi="Corbel"/>
          <w:sz w:val="22"/>
          <w:szCs w:val="22"/>
        </w:rPr>
        <w:t xml:space="preserve"> that the Arab countries would enjoy</w:t>
      </w:r>
      <w:r w:rsidR="00434F67" w:rsidRPr="4F6DD0A6">
        <w:rPr>
          <w:rFonts w:ascii="Corbel" w:hAnsi="Corbel" w:cstheme="minorBidi"/>
          <w:sz w:val="22"/>
          <w:szCs w:val="22"/>
        </w:rPr>
        <w:t xml:space="preserve"> </w:t>
      </w:r>
      <w:r w:rsidR="001009B8" w:rsidRPr="4F6DD0A6">
        <w:rPr>
          <w:rFonts w:ascii="Corbel" w:hAnsi="Corbel" w:cstheme="minorBidi"/>
          <w:sz w:val="22"/>
          <w:szCs w:val="22"/>
        </w:rPr>
        <w:t>an</w:t>
      </w:r>
      <w:r w:rsidR="00434F67" w:rsidRPr="4F6DD0A6">
        <w:rPr>
          <w:rFonts w:ascii="Corbel" w:hAnsi="Corbel" w:cstheme="minorBidi"/>
          <w:sz w:val="22"/>
          <w:szCs w:val="22"/>
        </w:rPr>
        <w:t xml:space="preserve"> economic growth at</w:t>
      </w:r>
      <w:r w:rsidR="00434F67" w:rsidRPr="00570ACC">
        <w:rPr>
          <w:rFonts w:ascii="Corbel" w:hAnsi="Corbel"/>
          <w:sz w:val="22"/>
          <w:szCs w:val="22"/>
        </w:rPr>
        <w:t xml:space="preserve"> </w:t>
      </w:r>
      <w:r w:rsidR="00434F67" w:rsidRPr="4F6DD0A6">
        <w:rPr>
          <w:rFonts w:ascii="Corbel" w:hAnsi="Corbel" w:cstheme="minorBidi"/>
          <w:sz w:val="22"/>
          <w:szCs w:val="22"/>
        </w:rPr>
        <w:t>4.4</w:t>
      </w:r>
      <w:r w:rsidR="006B0C93" w:rsidRPr="4F6DD0A6">
        <w:rPr>
          <w:rFonts w:ascii="Corbel" w:hAnsi="Corbel" w:cstheme="minorBidi"/>
          <w:sz w:val="22"/>
          <w:szCs w:val="22"/>
        </w:rPr>
        <w:t xml:space="preserve"> </w:t>
      </w:r>
      <w:r w:rsidR="00434F67" w:rsidRPr="4F6DD0A6">
        <w:rPr>
          <w:rFonts w:ascii="Corbel" w:hAnsi="Corbel" w:cstheme="minorBidi"/>
          <w:sz w:val="22"/>
          <w:szCs w:val="22"/>
        </w:rPr>
        <w:t xml:space="preserve">percent </w:t>
      </w:r>
      <w:r w:rsidR="00361C28" w:rsidRPr="4F6DD0A6">
        <w:rPr>
          <w:rFonts w:ascii="Corbel" w:hAnsi="Corbel" w:cstheme="minorBidi"/>
          <w:sz w:val="22"/>
          <w:szCs w:val="22"/>
        </w:rPr>
        <w:t>in</w:t>
      </w:r>
      <w:r w:rsidR="00434F67" w:rsidRPr="4F6DD0A6">
        <w:rPr>
          <w:rFonts w:ascii="Corbel" w:hAnsi="Corbel" w:cstheme="minorBidi"/>
          <w:sz w:val="22"/>
          <w:szCs w:val="22"/>
        </w:rPr>
        <w:t xml:space="preserve"> 2021 and 4.5</w:t>
      </w:r>
      <w:r w:rsidR="00361C28" w:rsidRPr="4F6DD0A6">
        <w:rPr>
          <w:rFonts w:ascii="Corbel" w:hAnsi="Corbel" w:cstheme="minorBidi"/>
          <w:sz w:val="22"/>
          <w:szCs w:val="22"/>
        </w:rPr>
        <w:t xml:space="preserve"> </w:t>
      </w:r>
      <w:r w:rsidR="00434F67" w:rsidRPr="4F6DD0A6">
        <w:rPr>
          <w:rFonts w:ascii="Corbel" w:hAnsi="Corbel" w:cstheme="minorBidi"/>
          <w:sz w:val="22"/>
          <w:szCs w:val="22"/>
        </w:rPr>
        <w:t>percent for 2022</w:t>
      </w:r>
      <w:r w:rsidR="003871CD" w:rsidRPr="4F6DD0A6">
        <w:rPr>
          <w:rFonts w:ascii="Corbel" w:hAnsi="Corbel" w:cstheme="minorBidi"/>
          <w:sz w:val="22"/>
          <w:szCs w:val="22"/>
        </w:rPr>
        <w:t>,</w:t>
      </w:r>
      <w:r w:rsidR="003871CD" w:rsidRPr="00570ACC">
        <w:rPr>
          <w:rStyle w:val="FootnoteReference"/>
          <w:rFonts w:ascii="Corbel" w:hAnsi="Corbel"/>
          <w:sz w:val="22"/>
          <w:szCs w:val="22"/>
        </w:rPr>
        <w:footnoteReference w:id="20"/>
      </w:r>
      <w:r w:rsidR="00361C28" w:rsidRPr="4F6DD0A6">
        <w:rPr>
          <w:rFonts w:ascii="Corbel" w:hAnsi="Corbel" w:cstheme="minorBidi"/>
          <w:sz w:val="22"/>
          <w:szCs w:val="22"/>
        </w:rPr>
        <w:t xml:space="preserve"> </w:t>
      </w:r>
      <w:r w:rsidR="00877D99" w:rsidRPr="4F6DD0A6">
        <w:rPr>
          <w:rFonts w:ascii="Corbel" w:hAnsi="Corbel" w:cstheme="minorBidi"/>
          <w:sz w:val="22"/>
          <w:szCs w:val="22"/>
        </w:rPr>
        <w:t xml:space="preserve">to </w:t>
      </w:r>
      <w:r w:rsidR="006962B2" w:rsidRPr="4F6DD0A6">
        <w:rPr>
          <w:rFonts w:ascii="Corbel" w:hAnsi="Corbel" w:cstheme="minorBidi"/>
          <w:sz w:val="22"/>
          <w:szCs w:val="22"/>
        </w:rPr>
        <w:t>be readjusted due</w:t>
      </w:r>
      <w:r w:rsidR="00361C28" w:rsidRPr="4F6DD0A6">
        <w:rPr>
          <w:rFonts w:ascii="Corbel" w:hAnsi="Corbel" w:cstheme="minorBidi"/>
          <w:sz w:val="22"/>
          <w:szCs w:val="22"/>
        </w:rPr>
        <w:t xml:space="preserve"> to the Ukrainian crisis</w:t>
      </w:r>
      <w:r w:rsidR="006962B2" w:rsidRPr="4F6DD0A6">
        <w:rPr>
          <w:rFonts w:ascii="Corbel" w:hAnsi="Corbel" w:cstheme="minorBidi"/>
          <w:sz w:val="22"/>
          <w:szCs w:val="22"/>
        </w:rPr>
        <w:t>.</w:t>
      </w:r>
      <w:r w:rsidR="006962B2" w:rsidRPr="4F6DD0A6">
        <w:rPr>
          <w:rStyle w:val="FootnoteReference"/>
          <w:rFonts w:ascii="Corbel" w:hAnsi="Corbel" w:cstheme="minorBidi"/>
          <w:sz w:val="22"/>
          <w:szCs w:val="22"/>
        </w:rPr>
        <w:footnoteReference w:id="21"/>
      </w:r>
      <w:r w:rsidR="00D26B4C" w:rsidRPr="4F6DD0A6">
        <w:rPr>
          <w:rFonts w:ascii="Corbel" w:hAnsi="Corbel" w:cstheme="minorBidi"/>
          <w:sz w:val="22"/>
          <w:szCs w:val="22"/>
        </w:rPr>
        <w:t xml:space="preserve"> Measures undertaken to </w:t>
      </w:r>
      <w:r w:rsidR="00963DF7" w:rsidRPr="4F6DD0A6">
        <w:rPr>
          <w:rFonts w:ascii="Corbel" w:hAnsi="Corbel" w:cstheme="minorBidi"/>
          <w:sz w:val="22"/>
          <w:szCs w:val="22"/>
        </w:rPr>
        <w:t>curb</w:t>
      </w:r>
      <w:r w:rsidR="00D26B4C" w:rsidRPr="4F6DD0A6">
        <w:rPr>
          <w:rFonts w:ascii="Corbel" w:hAnsi="Corbel" w:cstheme="minorBidi"/>
          <w:sz w:val="22"/>
          <w:szCs w:val="22"/>
        </w:rPr>
        <w:t xml:space="preserve"> the pandemic determined</w:t>
      </w:r>
      <w:r w:rsidRPr="00903080">
        <w:rPr>
          <w:rFonts w:ascii="Corbel" w:hAnsi="Corbel"/>
          <w:sz w:val="22"/>
          <w:szCs w:val="22"/>
        </w:rPr>
        <w:t xml:space="preserve"> a 7.5 drop in trades in good in 2020, which rebounded in 2021.</w:t>
      </w:r>
      <w:r w:rsidRPr="00903080">
        <w:rPr>
          <w:rFonts w:ascii="Corbel" w:hAnsi="Corbel"/>
          <w:sz w:val="22"/>
          <w:szCs w:val="22"/>
          <w:vertAlign w:val="superscript"/>
        </w:rPr>
        <w:footnoteReference w:id="22"/>
      </w:r>
      <w:r w:rsidR="005138BD" w:rsidRPr="00570ACC">
        <w:rPr>
          <w:rFonts w:ascii="Corbel" w:hAnsi="Corbel"/>
          <w:sz w:val="22"/>
          <w:szCs w:val="22"/>
        </w:rPr>
        <w:t xml:space="preserve"> </w:t>
      </w:r>
      <w:r w:rsidR="008207A0" w:rsidRPr="00570ACC">
        <w:rPr>
          <w:rFonts w:ascii="Corbel" w:hAnsi="Corbel"/>
          <w:sz w:val="22"/>
          <w:szCs w:val="22"/>
        </w:rPr>
        <w:t xml:space="preserve">The WTO documented a change in the composition </w:t>
      </w:r>
      <w:r w:rsidR="00D2559A">
        <w:rPr>
          <w:rFonts w:ascii="Corbel" w:hAnsi="Corbel"/>
          <w:sz w:val="22"/>
          <w:szCs w:val="22"/>
        </w:rPr>
        <w:t xml:space="preserve">of trade in services, </w:t>
      </w:r>
      <w:r w:rsidR="008207A0" w:rsidRPr="00570ACC">
        <w:rPr>
          <w:rFonts w:ascii="Corbel" w:hAnsi="Corbel"/>
          <w:sz w:val="22"/>
          <w:szCs w:val="22"/>
        </w:rPr>
        <w:t>with a reduction in transport and travel from 43 percent to 31 percent of total trade in service while professional services, computer services, financial services increased from 54 to 66 percent.</w:t>
      </w:r>
      <w:r w:rsidR="00D2559A" w:rsidRPr="00570ACC">
        <w:rPr>
          <w:rStyle w:val="FootnoteReference"/>
          <w:rFonts w:ascii="Corbel" w:hAnsi="Corbel"/>
          <w:sz w:val="22"/>
          <w:szCs w:val="22"/>
        </w:rPr>
        <w:footnoteReference w:id="23"/>
      </w:r>
      <w:r w:rsidR="00D2559A" w:rsidRPr="00570ACC">
        <w:rPr>
          <w:rFonts w:ascii="Corbel" w:hAnsi="Corbel"/>
          <w:sz w:val="22"/>
          <w:szCs w:val="22"/>
        </w:rPr>
        <w:t xml:space="preserve"> </w:t>
      </w:r>
      <w:r w:rsidR="00D2559A">
        <w:rPr>
          <w:rFonts w:ascii="Corbel" w:hAnsi="Corbel"/>
          <w:sz w:val="22"/>
          <w:szCs w:val="22"/>
        </w:rPr>
        <w:t xml:space="preserve"> </w:t>
      </w:r>
      <w:r w:rsidR="009F1255">
        <w:rPr>
          <w:rFonts w:ascii="Corbel" w:hAnsi="Corbel"/>
          <w:sz w:val="22"/>
          <w:szCs w:val="22"/>
        </w:rPr>
        <w:t xml:space="preserve">Among </w:t>
      </w:r>
      <w:r w:rsidR="00963DF7">
        <w:rPr>
          <w:rFonts w:ascii="Corbel" w:hAnsi="Corbel"/>
          <w:sz w:val="22"/>
          <w:szCs w:val="22"/>
        </w:rPr>
        <w:t>Arab</w:t>
      </w:r>
      <w:r w:rsidR="009F1255">
        <w:rPr>
          <w:rFonts w:ascii="Corbel" w:hAnsi="Corbel"/>
          <w:sz w:val="22"/>
          <w:szCs w:val="22"/>
        </w:rPr>
        <w:t xml:space="preserve"> countries, the pandemic has seen</w:t>
      </w:r>
      <w:r w:rsidR="004C2A90" w:rsidRPr="00570ACC">
        <w:rPr>
          <w:rFonts w:ascii="Corbel" w:hAnsi="Corbel"/>
          <w:sz w:val="22"/>
          <w:szCs w:val="22"/>
        </w:rPr>
        <w:t xml:space="preserve"> trade surplus</w:t>
      </w:r>
      <w:r w:rsidR="00536769">
        <w:rPr>
          <w:rFonts w:ascii="Corbel" w:hAnsi="Corbel"/>
          <w:sz w:val="22"/>
          <w:szCs w:val="22"/>
        </w:rPr>
        <w:t>es in 2020</w:t>
      </w:r>
      <w:r w:rsidR="009F1255">
        <w:rPr>
          <w:rFonts w:ascii="Corbel" w:hAnsi="Corbel"/>
          <w:sz w:val="22"/>
          <w:szCs w:val="22"/>
        </w:rPr>
        <w:t xml:space="preserve"> only</w:t>
      </w:r>
      <w:r w:rsidR="004C2A90" w:rsidRPr="00570ACC">
        <w:rPr>
          <w:rFonts w:ascii="Corbel" w:hAnsi="Corbel"/>
          <w:sz w:val="22"/>
          <w:szCs w:val="22"/>
        </w:rPr>
        <w:t xml:space="preserve"> in the GCC countries, led by </w:t>
      </w:r>
      <w:r w:rsidR="009F1255">
        <w:rPr>
          <w:rFonts w:ascii="Corbel" w:hAnsi="Corbel"/>
          <w:sz w:val="22"/>
          <w:szCs w:val="22"/>
        </w:rPr>
        <w:t>the United Arab Emirate</w:t>
      </w:r>
      <w:r w:rsidR="00D3671D">
        <w:rPr>
          <w:rFonts w:ascii="Corbel" w:hAnsi="Corbel"/>
          <w:sz w:val="22"/>
          <w:szCs w:val="22"/>
        </w:rPr>
        <w:t xml:space="preserve">s </w:t>
      </w:r>
      <w:r w:rsidR="00536769">
        <w:rPr>
          <w:rFonts w:ascii="Corbel" w:hAnsi="Corbel"/>
          <w:sz w:val="22"/>
          <w:szCs w:val="22"/>
        </w:rPr>
        <w:t>and Saudi Arabia</w:t>
      </w:r>
      <w:r w:rsidR="004C2A90" w:rsidRPr="00570ACC">
        <w:rPr>
          <w:rFonts w:ascii="Corbel" w:hAnsi="Corbel"/>
          <w:sz w:val="22"/>
          <w:szCs w:val="22"/>
        </w:rPr>
        <w:t>. The rest of PAFTA member</w:t>
      </w:r>
      <w:r w:rsidR="00D3671D">
        <w:rPr>
          <w:rFonts w:ascii="Corbel" w:hAnsi="Corbel"/>
          <w:sz w:val="22"/>
          <w:szCs w:val="22"/>
        </w:rPr>
        <w:t xml:space="preserve">s </w:t>
      </w:r>
      <w:r w:rsidR="004C2A90" w:rsidRPr="00570ACC">
        <w:rPr>
          <w:rFonts w:ascii="Corbel" w:hAnsi="Corbel"/>
          <w:sz w:val="22"/>
          <w:szCs w:val="22"/>
        </w:rPr>
        <w:t>suffer</w:t>
      </w:r>
      <w:r w:rsidR="00536769">
        <w:rPr>
          <w:rFonts w:ascii="Corbel" w:hAnsi="Corbel"/>
          <w:sz w:val="22"/>
          <w:szCs w:val="22"/>
        </w:rPr>
        <w:t>ed</w:t>
      </w:r>
      <w:r w:rsidR="004C2A90" w:rsidRPr="00570ACC">
        <w:rPr>
          <w:rFonts w:ascii="Corbel" w:hAnsi="Corbel"/>
          <w:sz w:val="22"/>
          <w:szCs w:val="22"/>
        </w:rPr>
        <w:t xml:space="preserve"> trade deficit</w:t>
      </w:r>
      <w:r w:rsidR="00536769">
        <w:rPr>
          <w:rFonts w:ascii="Corbel" w:hAnsi="Corbel"/>
          <w:sz w:val="22"/>
          <w:szCs w:val="22"/>
        </w:rPr>
        <w:t>s</w:t>
      </w:r>
      <w:r w:rsidR="004C2A90" w:rsidRPr="00570ACC">
        <w:rPr>
          <w:rFonts w:ascii="Corbel" w:hAnsi="Corbel"/>
          <w:sz w:val="22"/>
          <w:szCs w:val="22"/>
        </w:rPr>
        <w:t xml:space="preserve"> at significant variations.</w:t>
      </w:r>
      <w:r w:rsidR="004809B9" w:rsidRPr="004809B9">
        <w:rPr>
          <w:rStyle w:val="FootnoteReference"/>
          <w:rFonts w:ascii="Corbel" w:hAnsi="Corbel"/>
          <w:sz w:val="22"/>
          <w:szCs w:val="22"/>
        </w:rPr>
        <w:t xml:space="preserve"> </w:t>
      </w:r>
      <w:r w:rsidR="004809B9" w:rsidRPr="00570ACC">
        <w:rPr>
          <w:rStyle w:val="FootnoteReference"/>
          <w:rFonts w:ascii="Corbel" w:hAnsi="Corbel"/>
          <w:sz w:val="22"/>
          <w:szCs w:val="22"/>
        </w:rPr>
        <w:footnoteReference w:id="24"/>
      </w:r>
      <w:bookmarkEnd w:id="26"/>
      <w:r w:rsidR="004809B9">
        <w:rPr>
          <w:rFonts w:ascii="Corbel" w:hAnsi="Corbel"/>
          <w:sz w:val="22"/>
          <w:szCs w:val="22"/>
        </w:rPr>
        <w:t xml:space="preserve"> </w:t>
      </w:r>
    </w:p>
    <w:p w14:paraId="17721B2E" w14:textId="77777777" w:rsidR="00AD0D48" w:rsidRDefault="00AD0D48" w:rsidP="001655EC">
      <w:pPr>
        <w:spacing w:line="276" w:lineRule="auto"/>
        <w:jc w:val="both"/>
        <w:outlineLvl w:val="0"/>
        <w:rPr>
          <w:rFonts w:ascii="Corbel" w:hAnsi="Corbel"/>
          <w:sz w:val="22"/>
          <w:szCs w:val="22"/>
        </w:rPr>
      </w:pPr>
    </w:p>
    <w:p w14:paraId="4B987CB0" w14:textId="59972BA4" w:rsidR="001655EC" w:rsidRPr="00570ACC" w:rsidRDefault="001655EC" w:rsidP="001655EC">
      <w:pPr>
        <w:spacing w:line="276" w:lineRule="auto"/>
        <w:jc w:val="both"/>
        <w:outlineLvl w:val="0"/>
        <w:rPr>
          <w:rFonts w:ascii="Corbel" w:hAnsi="Corbel"/>
          <w:sz w:val="22"/>
          <w:szCs w:val="22"/>
        </w:rPr>
      </w:pPr>
      <w:bookmarkStart w:id="27" w:name="_Toc103506570"/>
      <w:r w:rsidRPr="00570ACC">
        <w:rPr>
          <w:rFonts w:ascii="Corbel" w:hAnsi="Corbel"/>
          <w:sz w:val="22"/>
          <w:szCs w:val="22"/>
        </w:rPr>
        <w:t xml:space="preserve">Major factors </w:t>
      </w:r>
      <w:r w:rsidR="000F2BA3">
        <w:rPr>
          <w:rFonts w:ascii="Corbel" w:hAnsi="Corbel"/>
          <w:sz w:val="22"/>
          <w:szCs w:val="22"/>
        </w:rPr>
        <w:t xml:space="preserve">that </w:t>
      </w:r>
      <w:r w:rsidRPr="00570ACC">
        <w:rPr>
          <w:rFonts w:ascii="Corbel" w:hAnsi="Corbel"/>
          <w:sz w:val="22"/>
          <w:szCs w:val="22"/>
        </w:rPr>
        <w:t>have affected the performance of international trade in 2021 and might continue in 2022</w:t>
      </w:r>
      <w:r w:rsidR="000F2BA3">
        <w:rPr>
          <w:rFonts w:ascii="Corbel" w:hAnsi="Corbel"/>
          <w:sz w:val="22"/>
          <w:szCs w:val="22"/>
        </w:rPr>
        <w:t xml:space="preserve"> include</w:t>
      </w:r>
      <w:r w:rsidRPr="00570ACC">
        <w:rPr>
          <w:rStyle w:val="FootnoteReference"/>
          <w:rFonts w:ascii="Corbel" w:hAnsi="Corbel"/>
          <w:sz w:val="22"/>
          <w:szCs w:val="22"/>
        </w:rPr>
        <w:footnoteReference w:id="25"/>
      </w:r>
      <w:r w:rsidRPr="00570ACC">
        <w:rPr>
          <w:rFonts w:ascii="Corbel" w:hAnsi="Corbel"/>
          <w:sz w:val="22"/>
          <w:szCs w:val="22"/>
        </w:rPr>
        <w:t>:</w:t>
      </w:r>
      <w:bookmarkEnd w:id="27"/>
    </w:p>
    <w:p w14:paraId="33F45BF5" w14:textId="797ACAB9" w:rsidR="001655EC" w:rsidRPr="00570ACC" w:rsidRDefault="001655EC" w:rsidP="000168EC">
      <w:pPr>
        <w:pStyle w:val="ListParagraph"/>
        <w:numPr>
          <w:ilvl w:val="0"/>
          <w:numId w:val="12"/>
        </w:numPr>
        <w:spacing w:line="276" w:lineRule="auto"/>
        <w:jc w:val="both"/>
        <w:outlineLvl w:val="0"/>
        <w:rPr>
          <w:rFonts w:ascii="Corbel" w:hAnsi="Corbel"/>
          <w:sz w:val="22"/>
          <w:szCs w:val="22"/>
        </w:rPr>
      </w:pPr>
      <w:bookmarkStart w:id="28" w:name="_Toc103506571"/>
      <w:r w:rsidRPr="00570ACC">
        <w:rPr>
          <w:rFonts w:ascii="Corbel" w:hAnsi="Corbel"/>
          <w:sz w:val="22"/>
          <w:szCs w:val="22"/>
          <w:lang w:val="en-GB"/>
        </w:rPr>
        <w:t>Slow economic recovery;</w:t>
      </w:r>
      <w:bookmarkEnd w:id="28"/>
    </w:p>
    <w:p w14:paraId="40788EAF" w14:textId="77777777" w:rsidR="001655EC" w:rsidRPr="00570ACC" w:rsidRDefault="001655EC" w:rsidP="000168EC">
      <w:pPr>
        <w:pStyle w:val="ListParagraph"/>
        <w:numPr>
          <w:ilvl w:val="0"/>
          <w:numId w:val="12"/>
        </w:numPr>
        <w:spacing w:line="276" w:lineRule="auto"/>
        <w:jc w:val="both"/>
        <w:outlineLvl w:val="0"/>
        <w:rPr>
          <w:rFonts w:ascii="Corbel" w:hAnsi="Corbel"/>
          <w:sz w:val="22"/>
          <w:szCs w:val="22"/>
        </w:rPr>
      </w:pPr>
      <w:bookmarkStart w:id="29" w:name="_Toc103506572"/>
      <w:r w:rsidRPr="00570ACC">
        <w:rPr>
          <w:rFonts w:ascii="Corbel" w:hAnsi="Corbel"/>
          <w:sz w:val="22"/>
          <w:szCs w:val="22"/>
          <w:lang w:val="en-GB"/>
        </w:rPr>
        <w:lastRenderedPageBreak/>
        <w:t>Disruption of logistics network and increases in shipping costs;</w:t>
      </w:r>
      <w:bookmarkEnd w:id="29"/>
    </w:p>
    <w:p w14:paraId="6C06B0C1" w14:textId="77777777" w:rsidR="001655EC" w:rsidRPr="00570ACC" w:rsidRDefault="001655EC" w:rsidP="000168EC">
      <w:pPr>
        <w:pStyle w:val="ListParagraph"/>
        <w:numPr>
          <w:ilvl w:val="0"/>
          <w:numId w:val="12"/>
        </w:numPr>
        <w:spacing w:line="276" w:lineRule="auto"/>
        <w:jc w:val="both"/>
        <w:outlineLvl w:val="0"/>
        <w:rPr>
          <w:rFonts w:ascii="Corbel" w:hAnsi="Corbel"/>
          <w:sz w:val="22"/>
          <w:szCs w:val="22"/>
        </w:rPr>
      </w:pPr>
      <w:bookmarkStart w:id="30" w:name="_Toc103506573"/>
      <w:r w:rsidRPr="00570ACC">
        <w:rPr>
          <w:rFonts w:ascii="Corbel" w:hAnsi="Corbel"/>
          <w:sz w:val="22"/>
          <w:szCs w:val="22"/>
          <w:lang w:val="en-GB"/>
        </w:rPr>
        <w:t>Global semiconductor shortage;</w:t>
      </w:r>
      <w:bookmarkEnd w:id="30"/>
    </w:p>
    <w:p w14:paraId="57B7CC81" w14:textId="418DCEF9" w:rsidR="001655EC" w:rsidRPr="00570ACC" w:rsidRDefault="001655EC" w:rsidP="000168EC">
      <w:pPr>
        <w:pStyle w:val="ListParagraph"/>
        <w:numPr>
          <w:ilvl w:val="0"/>
          <w:numId w:val="12"/>
        </w:numPr>
        <w:spacing w:line="276" w:lineRule="auto"/>
        <w:jc w:val="both"/>
        <w:outlineLvl w:val="0"/>
        <w:rPr>
          <w:rFonts w:ascii="Corbel" w:hAnsi="Corbel"/>
          <w:sz w:val="22"/>
          <w:szCs w:val="22"/>
        </w:rPr>
      </w:pPr>
      <w:bookmarkStart w:id="31" w:name="_Toc103506574"/>
      <w:r w:rsidRPr="00570ACC">
        <w:rPr>
          <w:rFonts w:ascii="Corbel" w:hAnsi="Corbel"/>
          <w:sz w:val="22"/>
          <w:szCs w:val="22"/>
          <w:lang w:val="en-GB"/>
        </w:rPr>
        <w:t xml:space="preserve">Geopolitical </w:t>
      </w:r>
      <w:r w:rsidR="00F910A6">
        <w:rPr>
          <w:rFonts w:ascii="Corbel" w:hAnsi="Corbel"/>
          <w:sz w:val="22"/>
          <w:szCs w:val="22"/>
          <w:lang w:val="en-GB"/>
        </w:rPr>
        <w:t>tensions (</w:t>
      </w:r>
      <w:r w:rsidR="00963DF7">
        <w:rPr>
          <w:rFonts w:ascii="Corbel" w:hAnsi="Corbel"/>
          <w:sz w:val="22"/>
          <w:szCs w:val="22"/>
          <w:lang w:val="en-GB"/>
        </w:rPr>
        <w:t>e.g.,</w:t>
      </w:r>
      <w:r w:rsidR="00F910A6">
        <w:rPr>
          <w:rFonts w:ascii="Corbel" w:hAnsi="Corbel"/>
          <w:sz w:val="22"/>
          <w:szCs w:val="22"/>
          <w:lang w:val="en-GB"/>
        </w:rPr>
        <w:t xml:space="preserve"> the current Ukrainian crisis)</w:t>
      </w:r>
      <w:r w:rsidRPr="00570ACC">
        <w:rPr>
          <w:rFonts w:ascii="Corbel" w:hAnsi="Corbel"/>
          <w:sz w:val="22"/>
          <w:szCs w:val="22"/>
          <w:lang w:val="en-GB"/>
        </w:rPr>
        <w:t>;</w:t>
      </w:r>
      <w:bookmarkEnd w:id="31"/>
    </w:p>
    <w:p w14:paraId="412D5C63" w14:textId="16F894C5" w:rsidR="001655EC" w:rsidRPr="00570ACC" w:rsidRDefault="002979D8" w:rsidP="000168EC">
      <w:pPr>
        <w:pStyle w:val="ListParagraph"/>
        <w:numPr>
          <w:ilvl w:val="0"/>
          <w:numId w:val="12"/>
        </w:numPr>
        <w:spacing w:line="276" w:lineRule="auto"/>
        <w:jc w:val="both"/>
        <w:outlineLvl w:val="0"/>
        <w:rPr>
          <w:rFonts w:ascii="Corbel" w:hAnsi="Corbel"/>
          <w:sz w:val="22"/>
          <w:szCs w:val="22"/>
        </w:rPr>
      </w:pPr>
      <w:bookmarkStart w:id="32" w:name="_Toc103506575"/>
      <w:r>
        <w:rPr>
          <w:rFonts w:ascii="Corbel" w:hAnsi="Corbel"/>
          <w:sz w:val="22"/>
          <w:szCs w:val="22"/>
          <w:lang w:val="en-US"/>
        </w:rPr>
        <w:t xml:space="preserve">Shifts in </w:t>
      </w:r>
      <w:r w:rsidR="00A97236">
        <w:rPr>
          <w:rFonts w:ascii="Corbel" w:hAnsi="Corbel"/>
          <w:sz w:val="22"/>
          <w:szCs w:val="22"/>
          <w:lang w:val="en-US"/>
        </w:rPr>
        <w:t>national</w:t>
      </w:r>
      <w:r w:rsidR="001655EC" w:rsidRPr="00570ACC">
        <w:rPr>
          <w:rFonts w:ascii="Corbel" w:hAnsi="Corbel"/>
          <w:sz w:val="22"/>
          <w:szCs w:val="22"/>
          <w:lang w:val="en-GB"/>
        </w:rPr>
        <w:t xml:space="preserve"> policies </w:t>
      </w:r>
      <w:r>
        <w:rPr>
          <w:rFonts w:ascii="Corbel" w:hAnsi="Corbel"/>
          <w:sz w:val="22"/>
          <w:szCs w:val="22"/>
          <w:lang w:val="en-GB"/>
        </w:rPr>
        <w:t>(</w:t>
      </w:r>
      <w:r w:rsidR="00A97236">
        <w:rPr>
          <w:rFonts w:ascii="Corbel" w:hAnsi="Corbel"/>
          <w:sz w:val="22"/>
          <w:szCs w:val="22"/>
          <w:lang w:val="en-GB"/>
        </w:rPr>
        <w:t>e.g.,</w:t>
      </w:r>
      <w:r>
        <w:rPr>
          <w:rFonts w:ascii="Corbel" w:hAnsi="Corbel"/>
          <w:sz w:val="22"/>
          <w:szCs w:val="22"/>
          <w:lang w:val="en-GB"/>
        </w:rPr>
        <w:t xml:space="preserve"> to address uncertainties </w:t>
      </w:r>
      <w:r w:rsidR="004C2A90">
        <w:rPr>
          <w:rFonts w:ascii="Corbel" w:hAnsi="Corbel"/>
          <w:sz w:val="22"/>
          <w:szCs w:val="22"/>
          <w:lang w:val="en-GB"/>
        </w:rPr>
        <w:t>due to climate change</w:t>
      </w:r>
      <w:r w:rsidR="00A97236">
        <w:rPr>
          <w:rFonts w:ascii="Corbel" w:hAnsi="Corbel"/>
          <w:sz w:val="22"/>
          <w:szCs w:val="22"/>
          <w:lang w:val="en-GB"/>
        </w:rPr>
        <w:t>)</w:t>
      </w:r>
      <w:r w:rsidR="00A97236" w:rsidRPr="00570ACC">
        <w:rPr>
          <w:rFonts w:ascii="Corbel" w:hAnsi="Corbel"/>
          <w:sz w:val="22"/>
          <w:szCs w:val="22"/>
          <w:lang w:val="en-GB"/>
        </w:rPr>
        <w:t>.</w:t>
      </w:r>
      <w:bookmarkEnd w:id="32"/>
    </w:p>
    <w:p w14:paraId="043E0E8C" w14:textId="77777777" w:rsidR="001655EC" w:rsidRPr="00570ACC" w:rsidRDefault="001655EC" w:rsidP="000168EC">
      <w:pPr>
        <w:pStyle w:val="ListParagraph"/>
        <w:numPr>
          <w:ilvl w:val="0"/>
          <w:numId w:val="12"/>
        </w:numPr>
        <w:spacing w:line="276" w:lineRule="auto"/>
        <w:jc w:val="both"/>
        <w:outlineLvl w:val="0"/>
        <w:rPr>
          <w:rFonts w:ascii="Corbel" w:hAnsi="Corbel"/>
          <w:sz w:val="22"/>
          <w:szCs w:val="22"/>
        </w:rPr>
      </w:pPr>
      <w:bookmarkStart w:id="33" w:name="_Toc103506576"/>
      <w:r w:rsidRPr="00570ACC">
        <w:rPr>
          <w:rFonts w:ascii="Corbel" w:hAnsi="Corbel"/>
          <w:sz w:val="22"/>
          <w:szCs w:val="22"/>
          <w:lang w:val="en-GB"/>
        </w:rPr>
        <w:t>Debt burden.</w:t>
      </w:r>
      <w:bookmarkEnd w:id="33"/>
    </w:p>
    <w:p w14:paraId="5BC0B666" w14:textId="3BC9928F" w:rsidR="001655EC" w:rsidRPr="00570ACC" w:rsidRDefault="001655EC" w:rsidP="001655EC">
      <w:pPr>
        <w:spacing w:line="276" w:lineRule="auto"/>
        <w:jc w:val="both"/>
        <w:outlineLvl w:val="0"/>
        <w:rPr>
          <w:rFonts w:ascii="Corbel" w:hAnsi="Corbel"/>
          <w:sz w:val="22"/>
          <w:szCs w:val="22"/>
        </w:rPr>
      </w:pPr>
    </w:p>
    <w:p w14:paraId="329E4223" w14:textId="66A1D2D9" w:rsidR="00EB3149" w:rsidRPr="00EB3149" w:rsidRDefault="003D4B66" w:rsidP="00EB3149">
      <w:pPr>
        <w:spacing w:line="276" w:lineRule="auto"/>
        <w:jc w:val="both"/>
        <w:outlineLvl w:val="0"/>
        <w:rPr>
          <w:rFonts w:ascii="Corbel" w:hAnsi="Corbel"/>
          <w:sz w:val="22"/>
          <w:szCs w:val="22"/>
        </w:rPr>
      </w:pPr>
      <w:bookmarkStart w:id="34" w:name="_Toc103506577"/>
      <w:r w:rsidRPr="00EB3149">
        <w:rPr>
          <w:rFonts w:ascii="Corbel" w:hAnsi="Corbel"/>
          <w:sz w:val="22"/>
          <w:szCs w:val="22"/>
        </w:rPr>
        <w:t>Macro fiscal policies, outdated market regulations, the absence of innovative investment strategies, inadequate transport networks and cumbersome logistical infrastructure, in addition to</w:t>
      </w:r>
      <w:r>
        <w:rPr>
          <w:rFonts w:ascii="Corbel" w:hAnsi="Corbel"/>
          <w:sz w:val="22"/>
          <w:szCs w:val="22"/>
        </w:rPr>
        <w:t xml:space="preserve"> protracted conflicts,</w:t>
      </w:r>
      <w:r w:rsidRPr="00EB3149">
        <w:rPr>
          <w:rFonts w:ascii="Corbel" w:hAnsi="Corbel"/>
          <w:sz w:val="22"/>
          <w:szCs w:val="22"/>
        </w:rPr>
        <w:t xml:space="preserve"> weak industrial capacities</w:t>
      </w:r>
      <w:r>
        <w:rPr>
          <w:rFonts w:ascii="Corbel" w:hAnsi="Corbel"/>
          <w:sz w:val="22"/>
          <w:szCs w:val="22"/>
        </w:rPr>
        <w:t>,</w:t>
      </w:r>
      <w:r w:rsidRPr="00EB3149">
        <w:rPr>
          <w:rFonts w:ascii="Corbel" w:hAnsi="Corbel"/>
          <w:sz w:val="22"/>
          <w:szCs w:val="22"/>
        </w:rPr>
        <w:t xml:space="preserve"> and inadequate competitiveness, hold back trade in the region as well as meaningful integration into global value chains.</w:t>
      </w:r>
      <w:r w:rsidRPr="00EB3149">
        <w:rPr>
          <w:rFonts w:ascii="Corbel" w:hAnsi="Corbel"/>
          <w:sz w:val="22"/>
          <w:szCs w:val="22"/>
          <w:vertAlign w:val="superscript"/>
        </w:rPr>
        <w:footnoteReference w:id="26"/>
      </w:r>
      <w:r>
        <w:rPr>
          <w:rFonts w:ascii="Corbel" w:hAnsi="Corbel"/>
          <w:sz w:val="22"/>
          <w:szCs w:val="22"/>
        </w:rPr>
        <w:t xml:space="preserve"> Nevertheless, </w:t>
      </w:r>
      <w:r w:rsidR="00EE0770" w:rsidRPr="00570ACC">
        <w:rPr>
          <w:rFonts w:ascii="Corbel" w:eastAsiaTheme="minorHAnsi" w:hAnsi="Corbel" w:cs="Arial"/>
          <w:sz w:val="22"/>
          <w:szCs w:val="22"/>
          <w:lang w:val="en-GB" w:eastAsia="en-US"/>
        </w:rPr>
        <w:t>regional</w:t>
      </w:r>
      <w:r w:rsidR="00EE0770">
        <w:rPr>
          <w:rFonts w:ascii="Corbel" w:eastAsiaTheme="minorHAnsi" w:hAnsi="Corbel" w:cs="Arial"/>
          <w:sz w:val="22"/>
          <w:szCs w:val="22"/>
          <w:lang w:val="en-GB" w:eastAsia="en-US"/>
        </w:rPr>
        <w:t xml:space="preserve"> economic</w:t>
      </w:r>
      <w:r w:rsidR="00EE0770" w:rsidRPr="00570ACC">
        <w:rPr>
          <w:rFonts w:ascii="Corbel" w:eastAsiaTheme="minorHAnsi" w:hAnsi="Corbel" w:cs="Arial"/>
          <w:sz w:val="22"/>
          <w:szCs w:val="22"/>
          <w:lang w:val="en-GB" w:eastAsia="en-US"/>
        </w:rPr>
        <w:t xml:space="preserve"> integration has the potential to lead to </w:t>
      </w:r>
      <w:r w:rsidR="00917B75" w:rsidRPr="00570ACC">
        <w:rPr>
          <w:rFonts w:ascii="Corbel" w:eastAsiaTheme="minorHAnsi" w:hAnsi="Corbel" w:cs="Arial"/>
          <w:sz w:val="22"/>
          <w:szCs w:val="22"/>
          <w:lang w:val="en-GB" w:eastAsia="en-US"/>
        </w:rPr>
        <w:t>fair competition</w:t>
      </w:r>
      <w:r w:rsidR="00EE0770" w:rsidRPr="00570ACC">
        <w:rPr>
          <w:rFonts w:ascii="Corbel" w:eastAsiaTheme="minorHAnsi" w:hAnsi="Corbel" w:cs="Arial"/>
          <w:sz w:val="22"/>
          <w:szCs w:val="22"/>
          <w:lang w:val="en-GB" w:eastAsia="en-US"/>
        </w:rPr>
        <w:t xml:space="preserve">, </w:t>
      </w:r>
      <w:r w:rsidR="00B178AE">
        <w:rPr>
          <w:rFonts w:ascii="Corbel" w:eastAsiaTheme="minorHAnsi" w:hAnsi="Corbel" w:cs="Arial"/>
          <w:sz w:val="22"/>
          <w:szCs w:val="22"/>
          <w:lang w:val="en-GB" w:eastAsia="en-US"/>
        </w:rPr>
        <w:t xml:space="preserve">a </w:t>
      </w:r>
      <w:r w:rsidR="00EE0770" w:rsidRPr="00570ACC">
        <w:rPr>
          <w:rFonts w:ascii="Corbel" w:eastAsiaTheme="minorHAnsi" w:hAnsi="Corbel" w:cs="Arial"/>
          <w:sz w:val="22"/>
          <w:szCs w:val="22"/>
          <w:lang w:val="en-GB" w:eastAsia="en-US"/>
        </w:rPr>
        <w:t>more efficient use of resources</w:t>
      </w:r>
      <w:r w:rsidR="00917B75">
        <w:rPr>
          <w:rFonts w:ascii="Corbel" w:eastAsiaTheme="minorHAnsi" w:hAnsi="Corbel" w:cs="Arial"/>
          <w:sz w:val="22"/>
          <w:szCs w:val="22"/>
          <w:lang w:val="en-GB" w:eastAsia="en-US"/>
        </w:rPr>
        <w:t>,</w:t>
      </w:r>
      <w:r w:rsidR="00EE0770" w:rsidRPr="00570ACC">
        <w:rPr>
          <w:rFonts w:ascii="Corbel" w:eastAsiaTheme="minorHAnsi" w:hAnsi="Corbel" w:cs="Arial"/>
          <w:sz w:val="22"/>
          <w:szCs w:val="22"/>
          <w:lang w:val="en-GB" w:eastAsia="en-US"/>
        </w:rPr>
        <w:t xml:space="preserve"> </w:t>
      </w:r>
      <w:r w:rsidR="00B178AE">
        <w:rPr>
          <w:rFonts w:ascii="Corbel" w:eastAsiaTheme="minorHAnsi" w:hAnsi="Corbel" w:cs="Arial"/>
          <w:sz w:val="22"/>
          <w:szCs w:val="22"/>
          <w:lang w:val="en-GB" w:eastAsia="en-US"/>
        </w:rPr>
        <w:t xml:space="preserve">and </w:t>
      </w:r>
      <w:r w:rsidR="00917B75">
        <w:rPr>
          <w:rFonts w:ascii="Corbel" w:eastAsiaTheme="minorHAnsi" w:hAnsi="Corbel" w:cs="Arial"/>
          <w:sz w:val="22"/>
          <w:szCs w:val="22"/>
          <w:lang w:val="en-GB" w:eastAsia="en-US"/>
        </w:rPr>
        <w:t>better</w:t>
      </w:r>
      <w:r w:rsidR="00EE0770" w:rsidRPr="00570ACC">
        <w:rPr>
          <w:rFonts w:ascii="Corbel" w:eastAsiaTheme="minorHAnsi" w:hAnsi="Corbel" w:cs="Arial"/>
          <w:sz w:val="22"/>
          <w:szCs w:val="22"/>
          <w:lang w:val="en-GB" w:eastAsia="en-US"/>
        </w:rPr>
        <w:t xml:space="preserve"> partnership among </w:t>
      </w:r>
      <w:r w:rsidR="00B178AE">
        <w:rPr>
          <w:rFonts w:ascii="Corbel" w:eastAsiaTheme="minorHAnsi" w:hAnsi="Corbel" w:cs="Arial"/>
          <w:sz w:val="22"/>
          <w:szCs w:val="22"/>
          <w:lang w:val="en-GB" w:eastAsia="en-US"/>
        </w:rPr>
        <w:t xml:space="preserve">public and private </w:t>
      </w:r>
      <w:r w:rsidR="00EE0770" w:rsidRPr="00570ACC">
        <w:rPr>
          <w:rFonts w:ascii="Corbel" w:eastAsiaTheme="minorHAnsi" w:hAnsi="Corbel" w:cs="Arial"/>
          <w:sz w:val="22"/>
          <w:szCs w:val="22"/>
          <w:lang w:val="en-GB" w:eastAsia="en-US"/>
        </w:rPr>
        <w:t>sectors</w:t>
      </w:r>
      <w:r w:rsidR="00F1013B">
        <w:rPr>
          <w:rFonts w:ascii="Corbel" w:eastAsiaTheme="minorHAnsi" w:hAnsi="Corbel" w:cs="Arial"/>
          <w:sz w:val="22"/>
          <w:szCs w:val="22"/>
          <w:lang w:val="en-GB" w:eastAsia="en-US"/>
        </w:rPr>
        <w:t xml:space="preserve">, thus stimulating economic growth and employment. </w:t>
      </w:r>
      <w:r w:rsidR="005508B6">
        <w:rPr>
          <w:rFonts w:ascii="Corbel" w:eastAsiaTheme="minorHAnsi" w:hAnsi="Corbel" w:cs="Arial"/>
          <w:sz w:val="22"/>
          <w:szCs w:val="22"/>
          <w:lang w:val="en-GB" w:eastAsia="en-US"/>
        </w:rPr>
        <w:t>International</w:t>
      </w:r>
      <w:r w:rsidR="00EB3149" w:rsidRPr="00EB3149">
        <w:rPr>
          <w:rFonts w:ascii="Corbel" w:hAnsi="Corbel"/>
          <w:sz w:val="22"/>
          <w:szCs w:val="22"/>
        </w:rPr>
        <w:t xml:space="preserve"> trade </w:t>
      </w:r>
      <w:r w:rsidR="004255F4">
        <w:rPr>
          <w:rFonts w:ascii="Corbel" w:hAnsi="Corbel"/>
          <w:sz w:val="22"/>
          <w:szCs w:val="22"/>
        </w:rPr>
        <w:t xml:space="preserve">is </w:t>
      </w:r>
      <w:r w:rsidR="00F1013B">
        <w:rPr>
          <w:rFonts w:ascii="Corbel" w:hAnsi="Corbel"/>
          <w:sz w:val="22"/>
          <w:szCs w:val="22"/>
        </w:rPr>
        <w:t xml:space="preserve">also </w:t>
      </w:r>
      <w:r w:rsidR="004255F4">
        <w:rPr>
          <w:rFonts w:ascii="Corbel" w:hAnsi="Corbel"/>
          <w:sz w:val="22"/>
          <w:szCs w:val="22"/>
        </w:rPr>
        <w:t>expected to play</w:t>
      </w:r>
      <w:r w:rsidR="00EB3149" w:rsidRPr="00EB3149">
        <w:rPr>
          <w:rFonts w:ascii="Corbel" w:hAnsi="Corbel"/>
          <w:sz w:val="22"/>
          <w:szCs w:val="22"/>
        </w:rPr>
        <w:t xml:space="preserve"> an important role in</w:t>
      </w:r>
      <w:r w:rsidR="00444B60">
        <w:rPr>
          <w:rFonts w:ascii="Corbel" w:hAnsi="Corbel"/>
          <w:sz w:val="22"/>
          <w:szCs w:val="22"/>
        </w:rPr>
        <w:t xml:space="preserve"> view of the economic diversification</w:t>
      </w:r>
      <w:r w:rsidR="0011025A">
        <w:rPr>
          <w:rFonts w:ascii="Corbel" w:hAnsi="Corbel"/>
          <w:sz w:val="22"/>
          <w:szCs w:val="22"/>
        </w:rPr>
        <w:t>, which is</w:t>
      </w:r>
      <w:r w:rsidR="00444B60">
        <w:rPr>
          <w:rFonts w:ascii="Corbel" w:hAnsi="Corbel"/>
          <w:sz w:val="22"/>
          <w:szCs w:val="22"/>
        </w:rPr>
        <w:t xml:space="preserve"> deemed necessary to </w:t>
      </w:r>
      <w:r w:rsidR="005508B6">
        <w:rPr>
          <w:rFonts w:ascii="Corbel" w:hAnsi="Corbel"/>
          <w:sz w:val="22"/>
          <w:szCs w:val="22"/>
        </w:rPr>
        <w:t>promote</w:t>
      </w:r>
      <w:r w:rsidR="00444B60">
        <w:rPr>
          <w:rFonts w:ascii="Corbel" w:hAnsi="Corbel"/>
          <w:sz w:val="22"/>
          <w:szCs w:val="22"/>
        </w:rPr>
        <w:t xml:space="preserve"> </w:t>
      </w:r>
      <w:r w:rsidR="0011025A">
        <w:rPr>
          <w:rFonts w:ascii="Corbel" w:hAnsi="Corbel"/>
          <w:sz w:val="22"/>
          <w:szCs w:val="22"/>
        </w:rPr>
        <w:t>sustainable</w:t>
      </w:r>
      <w:r w:rsidR="00EB3149" w:rsidRPr="00EB3149">
        <w:rPr>
          <w:rFonts w:ascii="Corbel" w:hAnsi="Corbel"/>
          <w:sz w:val="22"/>
          <w:szCs w:val="22"/>
        </w:rPr>
        <w:t xml:space="preserve"> economic growth </w:t>
      </w:r>
      <w:r w:rsidR="0011025A">
        <w:rPr>
          <w:rFonts w:ascii="Corbel" w:hAnsi="Corbel"/>
          <w:sz w:val="22"/>
          <w:szCs w:val="22"/>
        </w:rPr>
        <w:t xml:space="preserve">and economies less reliant on fossil fuels </w:t>
      </w:r>
      <w:r w:rsidR="00444B60">
        <w:rPr>
          <w:rFonts w:ascii="Corbel" w:hAnsi="Corbel"/>
          <w:sz w:val="22"/>
          <w:szCs w:val="22"/>
        </w:rPr>
        <w:t>in</w:t>
      </w:r>
      <w:r w:rsidR="00EB3149" w:rsidRPr="00EB3149">
        <w:rPr>
          <w:rFonts w:ascii="Corbel" w:hAnsi="Corbel"/>
          <w:sz w:val="22"/>
          <w:szCs w:val="22"/>
        </w:rPr>
        <w:t xml:space="preserve"> Arab countries.</w:t>
      </w:r>
      <w:bookmarkEnd w:id="34"/>
      <w:r w:rsidR="00EB3149" w:rsidRPr="00EB3149">
        <w:rPr>
          <w:rFonts w:ascii="Corbel" w:hAnsi="Corbel"/>
          <w:sz w:val="22"/>
          <w:szCs w:val="22"/>
        </w:rPr>
        <w:t xml:space="preserve"> </w:t>
      </w:r>
    </w:p>
    <w:p w14:paraId="7D36E9CB" w14:textId="689D66BB" w:rsidR="00F22F9E" w:rsidRDefault="00F22F9E" w:rsidP="00EB3149">
      <w:pPr>
        <w:spacing w:line="276" w:lineRule="auto"/>
        <w:jc w:val="both"/>
        <w:outlineLvl w:val="0"/>
        <w:rPr>
          <w:rFonts w:ascii="Corbel" w:hAnsi="Corbel"/>
          <w:sz w:val="22"/>
          <w:szCs w:val="22"/>
        </w:rPr>
      </w:pPr>
    </w:p>
    <w:p w14:paraId="68B596EF" w14:textId="6EB0D306" w:rsidR="00CB66EA" w:rsidRPr="00EB3149" w:rsidRDefault="008C40E8" w:rsidP="00CB66EA">
      <w:pPr>
        <w:spacing w:line="276" w:lineRule="auto"/>
        <w:jc w:val="both"/>
        <w:outlineLvl w:val="0"/>
        <w:rPr>
          <w:rFonts w:ascii="Corbel" w:hAnsi="Corbel"/>
          <w:sz w:val="22"/>
          <w:szCs w:val="22"/>
          <w:lang w:val="en-GB"/>
        </w:rPr>
      </w:pPr>
      <w:bookmarkStart w:id="35" w:name="_Toc103506578"/>
      <w:r w:rsidRPr="008C40E8">
        <w:rPr>
          <w:rFonts w:ascii="Corbel" w:hAnsi="Corbel"/>
          <w:sz w:val="22"/>
          <w:szCs w:val="22"/>
          <w:lang w:val="en-GB"/>
        </w:rPr>
        <w:t>Most Arab countries are members of several preferential trade agreements, whether among themselves (</w:t>
      </w:r>
      <w:r w:rsidR="005508B6" w:rsidRPr="008C40E8">
        <w:rPr>
          <w:rFonts w:ascii="Corbel" w:hAnsi="Corbel"/>
          <w:sz w:val="22"/>
          <w:szCs w:val="22"/>
          <w:lang w:val="en-GB"/>
        </w:rPr>
        <w:t>e.g.,</w:t>
      </w:r>
      <w:r w:rsidRPr="008C40E8">
        <w:rPr>
          <w:rFonts w:ascii="Corbel" w:hAnsi="Corbel"/>
          <w:sz w:val="22"/>
          <w:szCs w:val="22"/>
          <w:lang w:val="en-GB"/>
        </w:rPr>
        <w:t xml:space="preserve"> Pan Arab Free Trade Area, Agadir, Gulf Cooperation Council, Arab Maghreb Union) or with other groupings (</w:t>
      </w:r>
      <w:r w:rsidR="005508B6" w:rsidRPr="008C40E8">
        <w:rPr>
          <w:rFonts w:ascii="Corbel" w:hAnsi="Corbel"/>
          <w:sz w:val="22"/>
          <w:szCs w:val="22"/>
          <w:lang w:val="en-GB"/>
        </w:rPr>
        <w:t>e.g.,</w:t>
      </w:r>
      <w:r w:rsidRPr="008C40E8">
        <w:rPr>
          <w:rFonts w:ascii="Corbel" w:hAnsi="Corbel"/>
          <w:sz w:val="22"/>
          <w:szCs w:val="22"/>
          <w:lang w:val="en-GB"/>
        </w:rPr>
        <w:t xml:space="preserve"> EU, USA, Canada COMESA, MECOSUR).</w:t>
      </w:r>
      <w:r w:rsidR="0011025A">
        <w:rPr>
          <w:rFonts w:ascii="Corbel" w:eastAsiaTheme="minorHAnsi" w:hAnsi="Corbel" w:cs="Arial"/>
          <w:sz w:val="22"/>
          <w:szCs w:val="22"/>
          <w:lang w:val="en-GB" w:eastAsia="en-US"/>
        </w:rPr>
        <w:t xml:space="preserve"> </w:t>
      </w:r>
      <w:r w:rsidR="006E7CB7">
        <w:rPr>
          <w:rFonts w:ascii="Corbel" w:eastAsiaTheme="minorHAnsi" w:hAnsi="Corbel" w:cs="Arial"/>
          <w:sz w:val="22"/>
          <w:szCs w:val="22"/>
          <w:lang w:val="en-GB" w:eastAsia="en-US"/>
        </w:rPr>
        <w:t xml:space="preserve">While </w:t>
      </w:r>
      <w:r>
        <w:rPr>
          <w:rFonts w:ascii="Corbel" w:hAnsi="Corbel"/>
          <w:sz w:val="22"/>
          <w:szCs w:val="22"/>
          <w:lang w:val="en-GB"/>
        </w:rPr>
        <w:t>Arab r</w:t>
      </w:r>
      <w:r w:rsidR="00CB66EA" w:rsidRPr="00EB3149">
        <w:rPr>
          <w:rFonts w:ascii="Corbel" w:hAnsi="Corbel"/>
          <w:sz w:val="22"/>
          <w:szCs w:val="22"/>
          <w:lang w:val="en-GB"/>
        </w:rPr>
        <w:t xml:space="preserve">egional trade processes </w:t>
      </w:r>
      <w:r w:rsidR="006E7CB7">
        <w:rPr>
          <w:rFonts w:ascii="Corbel" w:hAnsi="Corbel"/>
          <w:sz w:val="22"/>
          <w:szCs w:val="22"/>
          <w:lang w:val="en-GB"/>
        </w:rPr>
        <w:t xml:space="preserve">have encountered delays in </w:t>
      </w:r>
      <w:r w:rsidR="00A22B1F">
        <w:rPr>
          <w:rFonts w:ascii="Corbel" w:hAnsi="Corbel"/>
          <w:sz w:val="22"/>
          <w:szCs w:val="22"/>
          <w:lang w:val="en-GB"/>
        </w:rPr>
        <w:t>implementation</w:t>
      </w:r>
      <w:r w:rsidR="006E7CB7">
        <w:rPr>
          <w:rFonts w:ascii="Corbel" w:hAnsi="Corbel"/>
          <w:sz w:val="22"/>
          <w:szCs w:val="22"/>
          <w:lang w:val="en-GB"/>
        </w:rPr>
        <w:t xml:space="preserve">, </w:t>
      </w:r>
      <w:r w:rsidR="00CB66EA" w:rsidRPr="00EB3149">
        <w:rPr>
          <w:rFonts w:ascii="Corbel" w:hAnsi="Corbel"/>
          <w:sz w:val="22"/>
          <w:szCs w:val="22"/>
          <w:lang w:val="en-GB"/>
        </w:rPr>
        <w:t>new developments</w:t>
      </w:r>
      <w:r w:rsidR="005D0A1C">
        <w:rPr>
          <w:rFonts w:ascii="Corbel" w:hAnsi="Corbel"/>
          <w:sz w:val="22"/>
          <w:szCs w:val="22"/>
          <w:lang w:val="en-GB"/>
        </w:rPr>
        <w:t>,</w:t>
      </w:r>
      <w:r w:rsidR="00CB66EA" w:rsidRPr="00EB3149">
        <w:rPr>
          <w:rFonts w:ascii="Corbel" w:hAnsi="Corbel"/>
          <w:sz w:val="22"/>
          <w:szCs w:val="22"/>
          <w:lang w:val="en-GB"/>
        </w:rPr>
        <w:t xml:space="preserve"> like the </w:t>
      </w:r>
      <w:r w:rsidR="00CB66EA" w:rsidRPr="00EB3149">
        <w:rPr>
          <w:rFonts w:ascii="Corbel" w:hAnsi="Corbel"/>
          <w:sz w:val="22"/>
          <w:szCs w:val="22"/>
        </w:rPr>
        <w:t>entry into force of the African Continental Free Trade Area (</w:t>
      </w:r>
      <w:proofErr w:type="spellStart"/>
      <w:r w:rsidR="00CB66EA" w:rsidRPr="00EB3149">
        <w:rPr>
          <w:rFonts w:ascii="Corbel" w:hAnsi="Corbel"/>
          <w:sz w:val="22"/>
          <w:szCs w:val="22"/>
        </w:rPr>
        <w:t>AcFTA</w:t>
      </w:r>
      <w:proofErr w:type="spellEnd"/>
      <w:r w:rsidR="00CB66EA" w:rsidRPr="00EB3149">
        <w:rPr>
          <w:rFonts w:ascii="Corbel" w:hAnsi="Corbel"/>
          <w:sz w:val="22"/>
          <w:szCs w:val="22"/>
        </w:rPr>
        <w:t>)</w:t>
      </w:r>
      <w:r w:rsidR="00C93DA9">
        <w:rPr>
          <w:rFonts w:ascii="Corbel" w:hAnsi="Corbel"/>
          <w:sz w:val="22"/>
          <w:szCs w:val="22"/>
        </w:rPr>
        <w:t xml:space="preserve">, present </w:t>
      </w:r>
      <w:r w:rsidR="008B68BE">
        <w:rPr>
          <w:rFonts w:ascii="Corbel" w:hAnsi="Corbel"/>
          <w:sz w:val="22"/>
          <w:szCs w:val="22"/>
        </w:rPr>
        <w:t xml:space="preserve">interesting opportunities </w:t>
      </w:r>
      <w:r w:rsidR="00CB66EA" w:rsidRPr="00EB3149">
        <w:rPr>
          <w:rFonts w:ascii="Corbel" w:hAnsi="Corbel"/>
          <w:sz w:val="22"/>
          <w:szCs w:val="22"/>
        </w:rPr>
        <w:t>to boost export and penetrate new markets</w:t>
      </w:r>
      <w:r w:rsidR="008B68BE">
        <w:rPr>
          <w:rFonts w:ascii="Corbel" w:hAnsi="Corbel"/>
          <w:sz w:val="22"/>
          <w:szCs w:val="22"/>
        </w:rPr>
        <w:t xml:space="preserve"> </w:t>
      </w:r>
      <w:r w:rsidR="00D3732F">
        <w:rPr>
          <w:rFonts w:ascii="Corbel" w:hAnsi="Corbel"/>
          <w:sz w:val="22"/>
          <w:szCs w:val="22"/>
        </w:rPr>
        <w:t>for Arab countries in North Africa</w:t>
      </w:r>
      <w:r w:rsidR="00CB66EA" w:rsidRPr="00EB3149">
        <w:rPr>
          <w:rFonts w:ascii="Corbel" w:hAnsi="Corbel"/>
          <w:sz w:val="22"/>
          <w:szCs w:val="22"/>
        </w:rPr>
        <w:t>.</w:t>
      </w:r>
      <w:bookmarkEnd w:id="35"/>
      <w:r w:rsidR="00CB66EA" w:rsidRPr="00EB3149">
        <w:rPr>
          <w:rFonts w:ascii="Corbel" w:hAnsi="Corbel"/>
          <w:sz w:val="22"/>
          <w:szCs w:val="22"/>
        </w:rPr>
        <w:t xml:space="preserve"> </w:t>
      </w:r>
    </w:p>
    <w:p w14:paraId="797B09DE" w14:textId="77777777" w:rsidR="00CB66EA" w:rsidRDefault="00CB66EA" w:rsidP="00EB3149">
      <w:pPr>
        <w:spacing w:line="276" w:lineRule="auto"/>
        <w:jc w:val="both"/>
        <w:outlineLvl w:val="0"/>
        <w:rPr>
          <w:rFonts w:ascii="Corbel" w:hAnsi="Corbel"/>
          <w:sz w:val="22"/>
          <w:szCs w:val="22"/>
        </w:rPr>
      </w:pPr>
    </w:p>
    <w:p w14:paraId="44C865F2" w14:textId="7A3FBFF2" w:rsidR="00FF4142" w:rsidRPr="00BE1BF6" w:rsidRDefault="00EB3149" w:rsidP="005C719E">
      <w:pPr>
        <w:spacing w:line="276" w:lineRule="auto"/>
        <w:jc w:val="both"/>
        <w:outlineLvl w:val="0"/>
        <w:rPr>
          <w:rFonts w:ascii="Corbel" w:hAnsi="Corbel"/>
          <w:sz w:val="22"/>
          <w:szCs w:val="22"/>
          <w:lang w:val="en-GB"/>
        </w:rPr>
      </w:pPr>
      <w:bookmarkStart w:id="36" w:name="_Toc103506579"/>
      <w:r w:rsidRPr="00EB3149">
        <w:rPr>
          <w:rFonts w:ascii="Corbel" w:hAnsi="Corbel"/>
          <w:sz w:val="22"/>
          <w:szCs w:val="22"/>
          <w:lang w:val="en-GB"/>
        </w:rPr>
        <w:t xml:space="preserve">In this framework, the project “Strengthening Arab Economic Integration for Sustainable Development (AEISD)” supports PAFTA countries in taking suitable steps towards a Pan Arab market while deepening </w:t>
      </w:r>
      <w:r w:rsidR="00AF4F2D">
        <w:rPr>
          <w:rFonts w:ascii="Corbel" w:hAnsi="Corbel"/>
          <w:sz w:val="22"/>
          <w:szCs w:val="22"/>
          <w:lang w:val="en-GB"/>
        </w:rPr>
        <w:t xml:space="preserve">broader </w:t>
      </w:r>
      <w:r w:rsidRPr="00EB3149">
        <w:rPr>
          <w:rFonts w:ascii="Corbel" w:hAnsi="Corbel"/>
          <w:sz w:val="22"/>
          <w:szCs w:val="22"/>
          <w:lang w:val="en-GB"/>
        </w:rPr>
        <w:t xml:space="preserve">economic and trade cooperation. </w:t>
      </w:r>
      <w:r w:rsidR="005C719E" w:rsidRPr="00570ACC">
        <w:rPr>
          <w:rFonts w:ascii="Corbel" w:eastAsiaTheme="minorHAnsi" w:hAnsi="Corbel" w:cs="Arial"/>
          <w:sz w:val="22"/>
          <w:szCs w:val="22"/>
          <w:lang w:val="en-GB" w:eastAsia="en-US"/>
        </w:rPr>
        <w:t xml:space="preserve">In </w:t>
      </w:r>
      <w:r w:rsidR="00070745" w:rsidRPr="00570ACC">
        <w:rPr>
          <w:rFonts w:ascii="Corbel" w:eastAsiaTheme="minorHAnsi" w:hAnsi="Corbel" w:cs="Arial"/>
          <w:sz w:val="22"/>
          <w:szCs w:val="22"/>
          <w:lang w:val="en-GB" w:eastAsia="en-US"/>
        </w:rPr>
        <w:t>2017-2021</w:t>
      </w:r>
      <w:r w:rsidR="005C719E" w:rsidRPr="00570ACC">
        <w:rPr>
          <w:rFonts w:ascii="Corbel" w:eastAsiaTheme="minorHAnsi" w:hAnsi="Corbel" w:cs="Arial"/>
          <w:sz w:val="22"/>
          <w:szCs w:val="22"/>
          <w:lang w:val="en-GB" w:eastAsia="en-US"/>
        </w:rPr>
        <w:t xml:space="preserve">, the project </w:t>
      </w:r>
      <w:r w:rsidR="009E33DA">
        <w:rPr>
          <w:rFonts w:ascii="Corbel" w:eastAsiaTheme="minorHAnsi" w:hAnsi="Corbel" w:cs="Arial"/>
          <w:sz w:val="22"/>
          <w:szCs w:val="22"/>
          <w:lang w:val="en-GB" w:eastAsia="en-US"/>
        </w:rPr>
        <w:t>provid</w:t>
      </w:r>
      <w:r w:rsidR="004F1DB6">
        <w:rPr>
          <w:rFonts w:ascii="Corbel" w:eastAsiaTheme="minorHAnsi" w:hAnsi="Corbel" w:cs="Arial"/>
          <w:sz w:val="22"/>
          <w:szCs w:val="22"/>
          <w:lang w:val="en-GB" w:eastAsia="en-US"/>
        </w:rPr>
        <w:t>ed</w:t>
      </w:r>
      <w:r w:rsidR="009E33DA">
        <w:rPr>
          <w:rFonts w:ascii="Corbel" w:eastAsiaTheme="minorHAnsi" w:hAnsi="Corbel" w:cs="Arial"/>
          <w:sz w:val="22"/>
          <w:szCs w:val="22"/>
          <w:lang w:val="en-GB" w:eastAsia="en-US"/>
        </w:rPr>
        <w:t xml:space="preserve"> technical assistance and capacity development for the</w:t>
      </w:r>
      <w:r w:rsidR="005C719E" w:rsidRPr="00570ACC">
        <w:rPr>
          <w:rFonts w:ascii="Corbel" w:eastAsiaTheme="minorHAnsi" w:hAnsi="Corbel" w:cs="Arial"/>
          <w:sz w:val="22"/>
          <w:szCs w:val="22"/>
          <w:lang w:val="en-GB" w:eastAsia="en-US"/>
        </w:rPr>
        <w:t xml:space="preserve"> review </w:t>
      </w:r>
      <w:r w:rsidR="009E33DA">
        <w:rPr>
          <w:rFonts w:ascii="Corbel" w:eastAsiaTheme="minorHAnsi" w:hAnsi="Corbel" w:cs="Arial"/>
          <w:sz w:val="22"/>
          <w:szCs w:val="22"/>
          <w:lang w:val="en-GB" w:eastAsia="en-US"/>
        </w:rPr>
        <w:t xml:space="preserve">and upgrade </w:t>
      </w:r>
      <w:r w:rsidR="005C719E" w:rsidRPr="00570ACC">
        <w:rPr>
          <w:rFonts w:ascii="Corbel" w:eastAsiaTheme="minorHAnsi" w:hAnsi="Corbel" w:cs="Arial"/>
          <w:sz w:val="22"/>
          <w:szCs w:val="22"/>
          <w:lang w:val="en-GB" w:eastAsia="en-US"/>
        </w:rPr>
        <w:t xml:space="preserve">of </w:t>
      </w:r>
      <w:r w:rsidR="009E33DA">
        <w:rPr>
          <w:rFonts w:ascii="Corbel" w:eastAsiaTheme="minorHAnsi" w:hAnsi="Corbel" w:cs="Arial"/>
          <w:sz w:val="22"/>
          <w:szCs w:val="22"/>
          <w:lang w:val="en-GB" w:eastAsia="en-US"/>
        </w:rPr>
        <w:t xml:space="preserve">regional and </w:t>
      </w:r>
      <w:r w:rsidR="005C719E" w:rsidRPr="00570ACC">
        <w:rPr>
          <w:rFonts w:ascii="Corbel" w:eastAsiaTheme="minorHAnsi" w:hAnsi="Corbel" w:cs="Arial"/>
          <w:sz w:val="22"/>
          <w:szCs w:val="22"/>
          <w:lang w:val="en-GB" w:eastAsia="en-US"/>
        </w:rPr>
        <w:t xml:space="preserve">national trade policies in sectors of interest to </w:t>
      </w:r>
      <w:r w:rsidR="00C05239">
        <w:rPr>
          <w:rFonts w:ascii="Corbel" w:eastAsiaTheme="minorHAnsi" w:hAnsi="Corbel" w:cs="Arial"/>
          <w:sz w:val="22"/>
          <w:szCs w:val="22"/>
          <w:lang w:val="en-GB" w:eastAsia="en-US"/>
        </w:rPr>
        <w:t>Arab countries</w:t>
      </w:r>
      <w:r w:rsidR="005C719E" w:rsidRPr="00570ACC">
        <w:rPr>
          <w:rFonts w:ascii="Corbel" w:eastAsiaTheme="minorHAnsi" w:hAnsi="Corbel" w:cs="Arial"/>
          <w:sz w:val="22"/>
          <w:szCs w:val="22"/>
          <w:lang w:val="en-GB" w:eastAsia="en-US"/>
        </w:rPr>
        <w:t xml:space="preserve">, </w:t>
      </w:r>
      <w:r w:rsidR="00C05239">
        <w:rPr>
          <w:rFonts w:ascii="Corbel" w:eastAsiaTheme="minorHAnsi" w:hAnsi="Corbel" w:cs="Arial"/>
          <w:sz w:val="22"/>
          <w:szCs w:val="22"/>
          <w:lang w:val="en-GB" w:eastAsia="en-US"/>
        </w:rPr>
        <w:t>while also</w:t>
      </w:r>
      <w:r w:rsidR="005C719E" w:rsidRPr="00570ACC">
        <w:rPr>
          <w:rFonts w:ascii="Corbel" w:eastAsiaTheme="minorHAnsi" w:hAnsi="Corbel" w:cs="Arial"/>
          <w:sz w:val="22"/>
          <w:szCs w:val="22"/>
          <w:lang w:val="en-GB" w:eastAsia="en-US"/>
        </w:rPr>
        <w:t xml:space="preserve"> piloting solutions at the country level.</w:t>
      </w:r>
      <w:bookmarkEnd w:id="36"/>
      <w:r w:rsidR="005C719E" w:rsidRPr="00570ACC">
        <w:rPr>
          <w:rFonts w:ascii="Corbel" w:eastAsiaTheme="minorHAnsi" w:hAnsi="Corbel" w:cs="Arial"/>
          <w:sz w:val="22"/>
          <w:szCs w:val="22"/>
          <w:lang w:val="en-GB" w:eastAsia="en-US"/>
        </w:rPr>
        <w:t xml:space="preserve"> </w:t>
      </w:r>
    </w:p>
    <w:p w14:paraId="733CE49C" w14:textId="77777777" w:rsidR="00D41000" w:rsidRPr="00570ACC" w:rsidRDefault="00D41000" w:rsidP="00E47EA3">
      <w:pPr>
        <w:spacing w:line="276" w:lineRule="auto"/>
        <w:jc w:val="both"/>
        <w:outlineLvl w:val="0"/>
        <w:rPr>
          <w:rFonts w:ascii="Corbel" w:eastAsiaTheme="minorHAnsi" w:hAnsi="Corbel" w:cs="Arial"/>
          <w:b/>
          <w:bCs/>
          <w:sz w:val="22"/>
          <w:szCs w:val="22"/>
          <w:lang w:val="en-GB" w:eastAsia="en-US"/>
        </w:rPr>
      </w:pPr>
    </w:p>
    <w:p w14:paraId="5E61FB55" w14:textId="6AE1CA2D" w:rsidR="00AC0981" w:rsidRDefault="00E76DE0" w:rsidP="4F6DD0A6">
      <w:pPr>
        <w:spacing w:line="276" w:lineRule="auto"/>
        <w:jc w:val="both"/>
        <w:outlineLvl w:val="0"/>
        <w:rPr>
          <w:rFonts w:ascii="Corbel" w:eastAsiaTheme="minorEastAsia" w:hAnsi="Corbel" w:cs="Arial"/>
          <w:sz w:val="22"/>
          <w:szCs w:val="22"/>
          <w:lang w:eastAsia="en-US"/>
        </w:rPr>
      </w:pPr>
      <w:bookmarkStart w:id="37" w:name="_Toc103506580"/>
      <w:r w:rsidRPr="4F6DD0A6">
        <w:rPr>
          <w:rFonts w:ascii="Corbel" w:eastAsiaTheme="minorEastAsia" w:hAnsi="Corbel" w:cs="Arial"/>
          <w:sz w:val="22"/>
          <w:szCs w:val="22"/>
          <w:lang w:eastAsia="en-US"/>
        </w:rPr>
        <w:t xml:space="preserve">The project implemented a hybrid regional-bilateral approach to trade facilitation. It was demand-driven with a bottom-up approach, making it relevant to the needs and priorities of both LAS and national counterparts. </w:t>
      </w:r>
      <w:r w:rsidR="00B8148E" w:rsidRPr="4F6DD0A6">
        <w:rPr>
          <w:rFonts w:ascii="Corbel" w:eastAsiaTheme="minorEastAsia" w:hAnsi="Corbel" w:cs="Arial"/>
          <w:sz w:val="22"/>
          <w:szCs w:val="22"/>
          <w:lang w:eastAsia="en-US"/>
        </w:rPr>
        <w:t xml:space="preserve">The final project evaluations identified </w:t>
      </w:r>
      <w:r w:rsidR="00BC1F51" w:rsidRPr="4F6DD0A6">
        <w:rPr>
          <w:rFonts w:ascii="Corbel" w:eastAsiaTheme="minorEastAsia" w:hAnsi="Corbel" w:cs="Arial"/>
          <w:sz w:val="22"/>
          <w:szCs w:val="22"/>
          <w:lang w:eastAsia="en-US"/>
        </w:rPr>
        <w:t>strengths and weaknesses of this approach. On the one hand,</w:t>
      </w:r>
      <w:r w:rsidRPr="4F6DD0A6">
        <w:rPr>
          <w:rFonts w:ascii="Corbel" w:eastAsiaTheme="minorEastAsia" w:hAnsi="Corbel" w:cs="Arial"/>
          <w:sz w:val="22"/>
          <w:szCs w:val="22"/>
          <w:lang w:eastAsia="en-US"/>
        </w:rPr>
        <w:t xml:space="preserve"> it succeeded in assisting LAS counterparts developing and finalizing the Arab Framework Agreement of </w:t>
      </w:r>
      <w:proofErr w:type="spellStart"/>
      <w:r w:rsidRPr="4F6DD0A6">
        <w:rPr>
          <w:rFonts w:ascii="Corbel" w:eastAsiaTheme="minorEastAsia" w:hAnsi="Corbel" w:cs="Arial"/>
          <w:sz w:val="22"/>
          <w:szCs w:val="22"/>
          <w:lang w:eastAsia="en-US"/>
        </w:rPr>
        <w:t>Liberalisation</w:t>
      </w:r>
      <w:proofErr w:type="spellEnd"/>
      <w:r w:rsidRPr="4F6DD0A6">
        <w:rPr>
          <w:rFonts w:ascii="Corbel" w:eastAsiaTheme="minorEastAsia" w:hAnsi="Corbel" w:cs="Arial"/>
          <w:sz w:val="22"/>
          <w:szCs w:val="22"/>
          <w:lang w:eastAsia="en-US"/>
        </w:rPr>
        <w:t xml:space="preserve"> of Trade in Services</w:t>
      </w:r>
      <w:r w:rsidR="00341C48" w:rsidRPr="4F6DD0A6">
        <w:rPr>
          <w:rFonts w:ascii="Corbel" w:eastAsiaTheme="minorEastAsia" w:hAnsi="Corbel" w:cs="Arial"/>
          <w:sz w:val="22"/>
          <w:szCs w:val="22"/>
          <w:lang w:eastAsia="en-US"/>
        </w:rPr>
        <w:t>. On the other hand</w:t>
      </w:r>
      <w:r w:rsidRPr="4F6DD0A6">
        <w:rPr>
          <w:rFonts w:ascii="Corbel" w:eastAsiaTheme="minorEastAsia" w:hAnsi="Corbel" w:cs="Arial"/>
          <w:sz w:val="22"/>
          <w:szCs w:val="22"/>
          <w:lang w:eastAsia="en-US"/>
        </w:rPr>
        <w:t xml:space="preserve">, </w:t>
      </w:r>
      <w:r w:rsidR="00DE6E5B" w:rsidRPr="4F6DD0A6">
        <w:rPr>
          <w:rFonts w:ascii="Corbel" w:eastAsiaTheme="minorEastAsia" w:hAnsi="Corbel" w:cs="Arial"/>
          <w:sz w:val="22"/>
          <w:szCs w:val="22"/>
          <w:lang w:eastAsia="en-US"/>
        </w:rPr>
        <w:t xml:space="preserve">fragmented and occasionally conflicting interests </w:t>
      </w:r>
      <w:r w:rsidR="007A61A0" w:rsidRPr="4F6DD0A6">
        <w:rPr>
          <w:rFonts w:ascii="Corbel" w:eastAsiaTheme="minorEastAsia" w:hAnsi="Corbel" w:cs="Arial"/>
          <w:sz w:val="22"/>
          <w:szCs w:val="22"/>
          <w:lang w:eastAsia="en-US"/>
        </w:rPr>
        <w:t xml:space="preserve">between regional and national trade agendas </w:t>
      </w:r>
      <w:r w:rsidRPr="4F6DD0A6">
        <w:rPr>
          <w:rFonts w:ascii="Corbel" w:eastAsiaTheme="minorEastAsia" w:hAnsi="Corbel" w:cs="Arial"/>
          <w:sz w:val="22"/>
          <w:szCs w:val="22"/>
          <w:lang w:eastAsia="en-US"/>
        </w:rPr>
        <w:t xml:space="preserve">did not </w:t>
      </w:r>
      <w:r w:rsidR="007A61A0" w:rsidRPr="4F6DD0A6">
        <w:rPr>
          <w:rFonts w:ascii="Corbel" w:eastAsiaTheme="minorEastAsia" w:hAnsi="Corbel" w:cs="Arial"/>
          <w:sz w:val="22"/>
          <w:szCs w:val="22"/>
          <w:lang w:eastAsia="en-US"/>
        </w:rPr>
        <w:t xml:space="preserve">allow to </w:t>
      </w:r>
      <w:r w:rsidRPr="4F6DD0A6">
        <w:rPr>
          <w:rFonts w:ascii="Corbel" w:eastAsiaTheme="minorEastAsia" w:hAnsi="Corbel" w:cs="Arial"/>
          <w:sz w:val="22"/>
          <w:szCs w:val="22"/>
          <w:lang w:eastAsia="en-US"/>
        </w:rPr>
        <w:t>see the realization of mutually beneficial integration of Arab economies into the multilateral trading system.</w:t>
      </w:r>
      <w:bookmarkEnd w:id="37"/>
      <w:r w:rsidRPr="4F6DD0A6">
        <w:rPr>
          <w:rFonts w:ascii="Corbel" w:eastAsiaTheme="minorEastAsia" w:hAnsi="Corbel" w:cs="Arial"/>
          <w:sz w:val="22"/>
          <w:szCs w:val="22"/>
          <w:lang w:eastAsia="en-US"/>
        </w:rPr>
        <w:t xml:space="preserve"> </w:t>
      </w:r>
    </w:p>
    <w:p w14:paraId="0175E807" w14:textId="56E117BA" w:rsidR="00056861" w:rsidRDefault="00056861" w:rsidP="003E60BB">
      <w:pPr>
        <w:spacing w:line="276" w:lineRule="auto"/>
        <w:jc w:val="both"/>
        <w:rPr>
          <w:rFonts w:ascii="Corbel" w:hAnsi="Corbel" w:cs="Arial"/>
          <w:b/>
          <w:color w:val="1F497D"/>
          <w:sz w:val="28"/>
          <w:szCs w:val="28"/>
          <w:lang w:val="en-GB"/>
        </w:rPr>
      </w:pPr>
      <w:bookmarkStart w:id="38" w:name="_Toc364027458"/>
      <w:r w:rsidRPr="00EF1F01">
        <w:rPr>
          <w:rFonts w:ascii="Corbel" w:hAnsi="Corbel" w:cs="Arial"/>
          <w:b/>
          <w:color w:val="1F497D"/>
          <w:sz w:val="28"/>
          <w:szCs w:val="28"/>
          <w:lang w:val="en-GB"/>
        </w:rPr>
        <w:br w:type="page"/>
      </w:r>
    </w:p>
    <w:p w14:paraId="733D5217" w14:textId="26ED4861" w:rsidR="00D12064" w:rsidRPr="00EF1F01" w:rsidRDefault="00056861" w:rsidP="000168EC">
      <w:pPr>
        <w:pStyle w:val="Heading1"/>
        <w:numPr>
          <w:ilvl w:val="0"/>
          <w:numId w:val="21"/>
        </w:numPr>
        <w:rPr>
          <w:sz w:val="22"/>
          <w:szCs w:val="22"/>
          <w:lang w:val="en-GB"/>
        </w:rPr>
      </w:pPr>
      <w:bookmarkStart w:id="39" w:name="_Toc103506581"/>
      <w:r w:rsidRPr="00EF1F01">
        <w:rPr>
          <w:lang w:val="en-GB"/>
        </w:rPr>
        <w:lastRenderedPageBreak/>
        <w:t>Pro</w:t>
      </w:r>
      <w:r w:rsidR="00D12064" w:rsidRPr="00EF1F01">
        <w:rPr>
          <w:lang w:val="en-GB"/>
        </w:rPr>
        <w:t>gress Review: Key Activi</w:t>
      </w:r>
      <w:r w:rsidR="00DA15A9" w:rsidRPr="00EF1F01">
        <w:rPr>
          <w:lang w:val="en-GB"/>
        </w:rPr>
        <w:t>ties and Results</w:t>
      </w:r>
      <w:r w:rsidR="00A06682">
        <w:rPr>
          <w:sz w:val="22"/>
          <w:szCs w:val="22"/>
          <w:lang w:val="en-GB"/>
        </w:rPr>
        <w:pict w14:anchorId="036FAF30">
          <v:rect id="_x0000_i1027" style="width:468pt;height:1.5pt" o:hralign="center" o:hrstd="t" o:hrnoshade="t" o:hr="t" fillcolor="#17365d" stroked="f"/>
        </w:pict>
      </w:r>
      <w:bookmarkEnd w:id="39"/>
    </w:p>
    <w:p w14:paraId="3B2CF263" w14:textId="49016C3C" w:rsidR="001F789D" w:rsidRDefault="00D12064" w:rsidP="00A42F52">
      <w:pPr>
        <w:pStyle w:val="Heading2"/>
        <w:rPr>
          <w:lang w:val="en-GB"/>
        </w:rPr>
      </w:pPr>
      <w:bookmarkStart w:id="40" w:name="_Toc103506582"/>
      <w:r w:rsidRPr="00873A7E">
        <w:rPr>
          <w:lang w:val="en-GB"/>
        </w:rPr>
        <w:t xml:space="preserve">Section 1:  Overall progress against </w:t>
      </w:r>
      <w:r w:rsidR="00427B97" w:rsidRPr="00873A7E">
        <w:rPr>
          <w:lang w:val="en-GB"/>
        </w:rPr>
        <w:t xml:space="preserve">the </w:t>
      </w:r>
      <w:r w:rsidR="00FC3880" w:rsidRPr="00873A7E">
        <w:rPr>
          <w:lang w:val="en-GB"/>
        </w:rPr>
        <w:t>p</w:t>
      </w:r>
      <w:r w:rsidR="00427B97" w:rsidRPr="00873A7E">
        <w:rPr>
          <w:lang w:val="en-GB"/>
        </w:rPr>
        <w:t xml:space="preserve">roject </w:t>
      </w:r>
      <w:r w:rsidRPr="00873A7E">
        <w:rPr>
          <w:lang w:val="en-GB"/>
        </w:rPr>
        <w:t>outcomes</w:t>
      </w:r>
      <w:bookmarkEnd w:id="40"/>
    </w:p>
    <w:p w14:paraId="56A20A0B" w14:textId="77777777" w:rsidR="00CD0CF3" w:rsidRPr="00CD0CF3" w:rsidRDefault="00CD0CF3" w:rsidP="00CD0CF3">
      <w:pPr>
        <w:rPr>
          <w:lang w:val="en-GB"/>
        </w:rPr>
      </w:pPr>
    </w:p>
    <w:p w14:paraId="722FAB80" w14:textId="083FDFB4" w:rsidR="00F050D1" w:rsidRPr="00570ACC" w:rsidRDefault="00997714" w:rsidP="006F0C82">
      <w:pPr>
        <w:spacing w:line="276" w:lineRule="auto"/>
        <w:jc w:val="both"/>
        <w:outlineLvl w:val="0"/>
        <w:rPr>
          <w:rFonts w:ascii="Corbel" w:hAnsi="Corbel"/>
          <w:sz w:val="22"/>
          <w:szCs w:val="22"/>
        </w:rPr>
      </w:pPr>
      <w:bookmarkStart w:id="41" w:name="_Toc103506583"/>
      <w:r w:rsidRPr="00570ACC">
        <w:rPr>
          <w:rFonts w:ascii="Corbel" w:hAnsi="Corbel" w:cs="Arial"/>
          <w:sz w:val="22"/>
          <w:szCs w:val="22"/>
          <w:lang w:val="en-GB"/>
        </w:rPr>
        <w:t>The project contribute</w:t>
      </w:r>
      <w:r w:rsidR="00E30C1A">
        <w:rPr>
          <w:rFonts w:ascii="Corbel" w:hAnsi="Corbel" w:cs="Arial"/>
          <w:sz w:val="22"/>
          <w:szCs w:val="22"/>
          <w:lang w:val="en-GB"/>
        </w:rPr>
        <w:t xml:space="preserve">d </w:t>
      </w:r>
      <w:r w:rsidRPr="00570ACC">
        <w:rPr>
          <w:rFonts w:ascii="Corbel" w:hAnsi="Corbel" w:cs="Arial"/>
          <w:sz w:val="22"/>
          <w:szCs w:val="22"/>
          <w:lang w:val="en-GB"/>
        </w:rPr>
        <w:t xml:space="preserve">to </w:t>
      </w:r>
      <w:r w:rsidR="00E30C1A">
        <w:rPr>
          <w:rFonts w:ascii="Corbel" w:hAnsi="Corbel" w:cs="Arial"/>
          <w:sz w:val="22"/>
          <w:szCs w:val="22"/>
          <w:lang w:val="en-GB"/>
        </w:rPr>
        <w:t>Outcome 1 o</w:t>
      </w:r>
      <w:r w:rsidR="008B2353" w:rsidRPr="00570ACC">
        <w:rPr>
          <w:rFonts w:ascii="Corbel" w:hAnsi="Corbel" w:cs="Arial"/>
          <w:sz w:val="22"/>
          <w:szCs w:val="22"/>
          <w:lang w:val="en-GB"/>
        </w:rPr>
        <w:t>f the 2018-2021</w:t>
      </w:r>
      <w:r w:rsidRPr="00570ACC">
        <w:rPr>
          <w:rFonts w:ascii="Corbel" w:hAnsi="Corbel" w:cs="Arial"/>
          <w:sz w:val="22"/>
          <w:szCs w:val="22"/>
          <w:lang w:val="en-GB"/>
        </w:rPr>
        <w:t xml:space="preserve"> </w:t>
      </w:r>
      <w:r w:rsidR="00E30C1A">
        <w:rPr>
          <w:rFonts w:ascii="Corbel" w:hAnsi="Corbel" w:cs="Arial"/>
          <w:sz w:val="22"/>
          <w:szCs w:val="22"/>
          <w:lang w:val="en-GB"/>
        </w:rPr>
        <w:t xml:space="preserve">UNDP </w:t>
      </w:r>
      <w:r w:rsidRPr="00570ACC">
        <w:rPr>
          <w:rFonts w:ascii="Corbel" w:hAnsi="Corbel" w:cs="Arial"/>
          <w:sz w:val="22"/>
          <w:szCs w:val="22"/>
          <w:lang w:val="en-GB"/>
        </w:rPr>
        <w:t>Regional Programme Document (</w:t>
      </w:r>
      <w:r w:rsidR="00F97460" w:rsidRPr="00570ACC">
        <w:rPr>
          <w:rFonts w:ascii="Corbel" w:hAnsi="Corbel" w:cs="Arial"/>
          <w:sz w:val="22"/>
          <w:szCs w:val="22"/>
          <w:lang w:val="en-GB"/>
        </w:rPr>
        <w:t>RPD)</w:t>
      </w:r>
      <w:r w:rsidR="00E30C1A">
        <w:rPr>
          <w:rFonts w:ascii="Corbel" w:hAnsi="Corbel" w:cs="Arial"/>
          <w:sz w:val="22"/>
          <w:szCs w:val="22"/>
          <w:lang w:val="en-GB"/>
        </w:rPr>
        <w:t xml:space="preserve"> for Arab States:</w:t>
      </w:r>
      <w:r w:rsidRPr="00570ACC">
        <w:rPr>
          <w:rFonts w:ascii="Corbel" w:hAnsi="Corbel" w:cs="Arial"/>
          <w:sz w:val="22"/>
          <w:szCs w:val="22"/>
          <w:lang w:val="en-GB"/>
        </w:rPr>
        <w:t xml:space="preserve"> </w:t>
      </w:r>
      <w:r w:rsidRPr="006D0CE3">
        <w:rPr>
          <w:rFonts w:ascii="Corbel" w:hAnsi="Corbel" w:cs="Arial"/>
          <w:i/>
          <w:iCs/>
          <w:sz w:val="22"/>
          <w:szCs w:val="22"/>
          <w:lang w:val="en-GB"/>
        </w:rPr>
        <w:t>Accelerate structural transformation of productive capacities in a sustainable and inclusive manner</w:t>
      </w:r>
      <w:r w:rsidRPr="00570ACC">
        <w:rPr>
          <w:rFonts w:ascii="Corbel" w:hAnsi="Corbel" w:cs="Arial"/>
          <w:sz w:val="22"/>
          <w:szCs w:val="22"/>
          <w:lang w:val="en-GB"/>
        </w:rPr>
        <w:t>.</w:t>
      </w:r>
      <w:r w:rsidR="00EE4A8F" w:rsidRPr="00570ACC">
        <w:rPr>
          <w:rFonts w:ascii="Corbel" w:hAnsi="Corbel" w:cs="Arial"/>
          <w:sz w:val="22"/>
          <w:szCs w:val="22"/>
          <w:lang w:val="en-GB"/>
        </w:rPr>
        <w:t xml:space="preserve"> </w:t>
      </w:r>
      <w:r w:rsidR="004D038F">
        <w:rPr>
          <w:rFonts w:ascii="Corbel" w:hAnsi="Corbel"/>
          <w:sz w:val="22"/>
          <w:szCs w:val="22"/>
          <w:lang w:val="en-GB"/>
        </w:rPr>
        <w:t>R</w:t>
      </w:r>
      <w:proofErr w:type="spellStart"/>
      <w:r w:rsidR="006F0C82" w:rsidRPr="00570ACC">
        <w:rPr>
          <w:rFonts w:ascii="Corbel" w:hAnsi="Corbel"/>
          <w:sz w:val="22"/>
          <w:szCs w:val="22"/>
        </w:rPr>
        <w:t>egional</w:t>
      </w:r>
      <w:proofErr w:type="spellEnd"/>
      <w:r w:rsidR="006F0C82" w:rsidRPr="00570ACC">
        <w:rPr>
          <w:rFonts w:ascii="Corbel" w:hAnsi="Corbel"/>
          <w:sz w:val="22"/>
          <w:szCs w:val="22"/>
        </w:rPr>
        <w:t xml:space="preserve"> economic integration</w:t>
      </w:r>
      <w:r w:rsidR="00F62A39" w:rsidRPr="00570ACC">
        <w:rPr>
          <w:rFonts w:ascii="Corbel" w:hAnsi="Corbel"/>
          <w:sz w:val="22"/>
          <w:szCs w:val="22"/>
        </w:rPr>
        <w:t xml:space="preserve"> </w:t>
      </w:r>
      <w:r w:rsidR="004D038F">
        <w:rPr>
          <w:rFonts w:ascii="Corbel" w:hAnsi="Corbel"/>
          <w:sz w:val="22"/>
          <w:szCs w:val="22"/>
        </w:rPr>
        <w:t>can contribute</w:t>
      </w:r>
      <w:r w:rsidR="00F62A39" w:rsidRPr="00570ACC">
        <w:rPr>
          <w:rFonts w:ascii="Corbel" w:hAnsi="Corbel"/>
          <w:sz w:val="22"/>
          <w:szCs w:val="22"/>
        </w:rPr>
        <w:t xml:space="preserve"> to </w:t>
      </w:r>
      <w:r w:rsidR="00061F4E">
        <w:rPr>
          <w:rFonts w:ascii="Corbel" w:hAnsi="Corbel"/>
          <w:sz w:val="22"/>
          <w:szCs w:val="22"/>
        </w:rPr>
        <w:t xml:space="preserve">a </w:t>
      </w:r>
      <w:r w:rsidR="00061F4E" w:rsidRPr="00570ACC">
        <w:rPr>
          <w:rFonts w:ascii="Corbel" w:hAnsi="Corbel"/>
          <w:sz w:val="22"/>
          <w:szCs w:val="22"/>
        </w:rPr>
        <w:t>more efficient allocation of resources</w:t>
      </w:r>
      <w:r w:rsidR="00C43E11">
        <w:rPr>
          <w:rFonts w:ascii="Corbel" w:hAnsi="Corbel"/>
          <w:sz w:val="22"/>
          <w:szCs w:val="22"/>
        </w:rPr>
        <w:t>,</w:t>
      </w:r>
      <w:r w:rsidR="00061F4E" w:rsidRPr="00570ACC">
        <w:rPr>
          <w:rFonts w:ascii="Corbel" w:hAnsi="Corbel"/>
          <w:sz w:val="22"/>
          <w:szCs w:val="22"/>
        </w:rPr>
        <w:t xml:space="preserve"> </w:t>
      </w:r>
      <w:r w:rsidR="00C1759A">
        <w:rPr>
          <w:rFonts w:ascii="Corbel" w:hAnsi="Corbel"/>
          <w:sz w:val="22"/>
          <w:szCs w:val="22"/>
        </w:rPr>
        <w:t xml:space="preserve">economic diversification, </w:t>
      </w:r>
      <w:r w:rsidR="00C43E11">
        <w:rPr>
          <w:rFonts w:ascii="Corbel" w:hAnsi="Corbel"/>
          <w:sz w:val="22"/>
          <w:szCs w:val="22"/>
        </w:rPr>
        <w:t>enhanced</w:t>
      </w:r>
      <w:r w:rsidR="00F62A39" w:rsidRPr="00570ACC">
        <w:rPr>
          <w:rFonts w:ascii="Corbel" w:hAnsi="Corbel"/>
          <w:sz w:val="22"/>
          <w:szCs w:val="22"/>
        </w:rPr>
        <w:t xml:space="preserve"> productive capacities</w:t>
      </w:r>
      <w:r w:rsidR="00C43E11">
        <w:rPr>
          <w:rFonts w:ascii="Corbel" w:hAnsi="Corbel"/>
          <w:sz w:val="22"/>
          <w:szCs w:val="22"/>
        </w:rPr>
        <w:t>,</w:t>
      </w:r>
      <w:r w:rsidR="00F62A39" w:rsidRPr="00570ACC">
        <w:rPr>
          <w:rFonts w:ascii="Corbel" w:hAnsi="Corbel"/>
          <w:sz w:val="22"/>
          <w:szCs w:val="22"/>
        </w:rPr>
        <w:t xml:space="preserve"> and </w:t>
      </w:r>
      <w:r w:rsidR="00C43E11">
        <w:rPr>
          <w:rFonts w:ascii="Corbel" w:hAnsi="Corbel"/>
          <w:sz w:val="22"/>
          <w:szCs w:val="22"/>
        </w:rPr>
        <w:t>business and employment generation</w:t>
      </w:r>
      <w:r w:rsidR="00C1759A">
        <w:rPr>
          <w:rFonts w:ascii="Corbel" w:hAnsi="Corbel"/>
          <w:sz w:val="22"/>
          <w:szCs w:val="22"/>
        </w:rPr>
        <w:t xml:space="preserve">. </w:t>
      </w:r>
      <w:r w:rsidR="00B56BED">
        <w:rPr>
          <w:rFonts w:ascii="Corbel" w:hAnsi="Corbel"/>
          <w:sz w:val="22"/>
          <w:szCs w:val="22"/>
        </w:rPr>
        <w:t xml:space="preserve">When strategically </w:t>
      </w:r>
      <w:r w:rsidR="005E2FFE">
        <w:rPr>
          <w:rFonts w:ascii="Corbel" w:hAnsi="Corbel"/>
          <w:sz w:val="22"/>
          <w:szCs w:val="22"/>
        </w:rPr>
        <w:t xml:space="preserve">and sustainably </w:t>
      </w:r>
      <w:r w:rsidR="00B56BED">
        <w:rPr>
          <w:rFonts w:ascii="Corbel" w:hAnsi="Corbel"/>
          <w:sz w:val="22"/>
          <w:szCs w:val="22"/>
        </w:rPr>
        <w:t>leveraged</w:t>
      </w:r>
      <w:r w:rsidR="00C1759A">
        <w:rPr>
          <w:rFonts w:ascii="Corbel" w:hAnsi="Corbel"/>
          <w:sz w:val="22"/>
          <w:szCs w:val="22"/>
        </w:rPr>
        <w:t>,</w:t>
      </w:r>
      <w:r w:rsidR="00B56BED">
        <w:rPr>
          <w:rFonts w:ascii="Corbel" w:hAnsi="Corbel"/>
          <w:sz w:val="22"/>
          <w:szCs w:val="22"/>
        </w:rPr>
        <w:t xml:space="preserve"> economic integration</w:t>
      </w:r>
      <w:r w:rsidR="005E2FFE">
        <w:rPr>
          <w:rFonts w:ascii="Corbel" w:hAnsi="Corbel"/>
          <w:sz w:val="22"/>
          <w:szCs w:val="22"/>
        </w:rPr>
        <w:t xml:space="preserve"> of regional and global markets can</w:t>
      </w:r>
      <w:r w:rsidR="00C1759A">
        <w:rPr>
          <w:rFonts w:ascii="Corbel" w:hAnsi="Corbel"/>
          <w:sz w:val="22"/>
          <w:szCs w:val="22"/>
        </w:rPr>
        <w:t xml:space="preserve"> therefore</w:t>
      </w:r>
      <w:r w:rsidR="00F62A39" w:rsidRPr="00570ACC">
        <w:rPr>
          <w:rFonts w:ascii="Corbel" w:hAnsi="Corbel"/>
          <w:sz w:val="22"/>
          <w:szCs w:val="22"/>
        </w:rPr>
        <w:t xml:space="preserve"> </w:t>
      </w:r>
      <w:r w:rsidR="004D038F">
        <w:rPr>
          <w:rFonts w:ascii="Corbel" w:hAnsi="Corbel"/>
          <w:sz w:val="22"/>
          <w:szCs w:val="22"/>
        </w:rPr>
        <w:t>strengthen</w:t>
      </w:r>
      <w:r w:rsidR="00F62A39" w:rsidRPr="00570ACC">
        <w:rPr>
          <w:rFonts w:ascii="Corbel" w:hAnsi="Corbel"/>
          <w:sz w:val="22"/>
          <w:szCs w:val="22"/>
        </w:rPr>
        <w:t xml:space="preserve"> resilience </w:t>
      </w:r>
      <w:r w:rsidR="00F902A2">
        <w:rPr>
          <w:rFonts w:ascii="Corbel" w:hAnsi="Corbel"/>
          <w:sz w:val="22"/>
          <w:szCs w:val="22"/>
        </w:rPr>
        <w:t>to</w:t>
      </w:r>
      <w:r w:rsidR="00F62A39" w:rsidRPr="00570ACC">
        <w:rPr>
          <w:rFonts w:ascii="Corbel" w:hAnsi="Corbel"/>
          <w:sz w:val="22"/>
          <w:szCs w:val="22"/>
        </w:rPr>
        <w:t xml:space="preserve"> face </w:t>
      </w:r>
      <w:r w:rsidR="00A04B25">
        <w:rPr>
          <w:rFonts w:ascii="Corbel" w:hAnsi="Corbel"/>
          <w:sz w:val="22"/>
          <w:szCs w:val="22"/>
        </w:rPr>
        <w:t xml:space="preserve">unexpected and lingering </w:t>
      </w:r>
      <w:r w:rsidR="00F62A39" w:rsidRPr="00570ACC">
        <w:rPr>
          <w:rFonts w:ascii="Corbel" w:hAnsi="Corbel"/>
          <w:sz w:val="22"/>
          <w:szCs w:val="22"/>
        </w:rPr>
        <w:t xml:space="preserve">challenges </w:t>
      </w:r>
      <w:r w:rsidR="00A04B25">
        <w:rPr>
          <w:rFonts w:ascii="Corbel" w:hAnsi="Corbel"/>
          <w:sz w:val="22"/>
          <w:szCs w:val="22"/>
        </w:rPr>
        <w:t xml:space="preserve">such as </w:t>
      </w:r>
      <w:r w:rsidR="00061F4E">
        <w:rPr>
          <w:rFonts w:ascii="Corbel" w:hAnsi="Corbel"/>
          <w:sz w:val="22"/>
          <w:szCs w:val="22"/>
        </w:rPr>
        <w:t>the socio-economic impact of pandemics or the effects of climate change</w:t>
      </w:r>
      <w:r w:rsidR="00F62A39" w:rsidRPr="00570ACC">
        <w:rPr>
          <w:rFonts w:ascii="Corbel" w:hAnsi="Corbel"/>
          <w:sz w:val="22"/>
          <w:szCs w:val="22"/>
        </w:rPr>
        <w:t>.</w:t>
      </w:r>
      <w:bookmarkEnd w:id="41"/>
      <w:r w:rsidR="00F62A39" w:rsidRPr="00570ACC">
        <w:rPr>
          <w:rFonts w:ascii="Corbel" w:hAnsi="Corbel"/>
          <w:sz w:val="22"/>
          <w:szCs w:val="22"/>
        </w:rPr>
        <w:t xml:space="preserve"> </w:t>
      </w:r>
    </w:p>
    <w:p w14:paraId="7CC48A2D" w14:textId="77777777" w:rsidR="00336BDB" w:rsidRPr="00570ACC" w:rsidRDefault="00336BDB" w:rsidP="00E47EA3">
      <w:pPr>
        <w:tabs>
          <w:tab w:val="left" w:pos="7230"/>
        </w:tabs>
        <w:spacing w:line="276" w:lineRule="auto"/>
        <w:rPr>
          <w:rFonts w:ascii="Corbel" w:hAnsi="Corbel"/>
          <w:sz w:val="22"/>
          <w:szCs w:val="22"/>
        </w:rPr>
      </w:pPr>
    </w:p>
    <w:p w14:paraId="5D53765F" w14:textId="2F8D561C" w:rsidR="00023913" w:rsidRPr="00570ACC" w:rsidRDefault="00546586" w:rsidP="00E47EA3">
      <w:pPr>
        <w:tabs>
          <w:tab w:val="left" w:pos="7230"/>
        </w:tabs>
        <w:spacing w:line="276" w:lineRule="auto"/>
        <w:jc w:val="both"/>
        <w:outlineLvl w:val="0"/>
        <w:rPr>
          <w:rFonts w:ascii="Corbel" w:hAnsi="Corbel" w:cs="Arial"/>
          <w:sz w:val="22"/>
          <w:szCs w:val="22"/>
          <w:lang w:val="en-GB"/>
        </w:rPr>
      </w:pPr>
      <w:bookmarkStart w:id="42" w:name="_Toc103506584"/>
      <w:r w:rsidRPr="00570ACC">
        <w:rPr>
          <w:rFonts w:ascii="Corbel" w:hAnsi="Corbel" w:cs="Arial"/>
          <w:sz w:val="22"/>
          <w:szCs w:val="22"/>
          <w:lang w:val="en-GB"/>
        </w:rPr>
        <w:t>T</w:t>
      </w:r>
      <w:r w:rsidR="00023913" w:rsidRPr="00570ACC">
        <w:rPr>
          <w:rFonts w:ascii="Corbel" w:hAnsi="Corbel" w:cs="Arial"/>
          <w:sz w:val="22"/>
          <w:szCs w:val="22"/>
          <w:lang w:val="en-GB"/>
        </w:rPr>
        <w:t xml:space="preserve">he project </w:t>
      </w:r>
      <w:r w:rsidRPr="00570ACC">
        <w:rPr>
          <w:rFonts w:ascii="Corbel" w:hAnsi="Corbel" w:cs="Arial"/>
          <w:sz w:val="22"/>
          <w:szCs w:val="22"/>
          <w:lang w:val="en-GB"/>
        </w:rPr>
        <w:t>is articulated through</w:t>
      </w:r>
      <w:r w:rsidR="00023913" w:rsidRPr="00570ACC">
        <w:rPr>
          <w:rFonts w:ascii="Corbel" w:hAnsi="Corbel" w:cs="Arial"/>
          <w:sz w:val="22"/>
          <w:szCs w:val="22"/>
          <w:lang w:val="en-GB"/>
        </w:rPr>
        <w:t xml:space="preserve"> three Outcomes</w:t>
      </w:r>
      <w:r w:rsidR="00B52BB0" w:rsidRPr="00570ACC">
        <w:rPr>
          <w:rFonts w:ascii="Corbel" w:hAnsi="Corbel" w:cs="Arial"/>
          <w:sz w:val="22"/>
          <w:szCs w:val="22"/>
          <w:lang w:val="en-GB"/>
        </w:rPr>
        <w:t xml:space="preserve"> with six Outpu</w:t>
      </w:r>
      <w:r w:rsidR="00AB5F53">
        <w:rPr>
          <w:rFonts w:ascii="Corbel" w:hAnsi="Corbel" w:cs="Arial"/>
          <w:sz w:val="22"/>
          <w:szCs w:val="22"/>
          <w:lang w:val="en-GB"/>
        </w:rPr>
        <w:t xml:space="preserve">ts against </w:t>
      </w:r>
      <w:r w:rsidR="00A22B1F">
        <w:rPr>
          <w:rFonts w:ascii="Corbel" w:hAnsi="Corbel" w:cs="Arial"/>
          <w:sz w:val="22"/>
          <w:szCs w:val="22"/>
          <w:lang w:val="en-GB"/>
        </w:rPr>
        <w:t>which</w:t>
      </w:r>
      <w:r w:rsidR="00AB5F53">
        <w:rPr>
          <w:rFonts w:ascii="Corbel" w:hAnsi="Corbel" w:cs="Arial"/>
          <w:sz w:val="22"/>
          <w:szCs w:val="22"/>
          <w:lang w:val="en-GB"/>
        </w:rPr>
        <w:t xml:space="preserve"> </w:t>
      </w:r>
      <w:r w:rsidR="008B1DC6">
        <w:rPr>
          <w:rFonts w:ascii="Corbel" w:hAnsi="Corbel" w:cs="Arial"/>
          <w:sz w:val="22"/>
          <w:szCs w:val="22"/>
          <w:lang w:val="en-GB"/>
        </w:rPr>
        <w:t xml:space="preserve">achievements </w:t>
      </w:r>
      <w:r w:rsidR="00D2190D">
        <w:rPr>
          <w:rFonts w:ascii="Corbel" w:hAnsi="Corbel" w:cs="Arial"/>
          <w:sz w:val="22"/>
          <w:szCs w:val="22"/>
          <w:lang w:val="en-GB"/>
        </w:rPr>
        <w:t xml:space="preserve">are analysed below. It is to be noted that </w:t>
      </w:r>
      <w:r w:rsidR="00A22B1F">
        <w:rPr>
          <w:rFonts w:ascii="Corbel" w:hAnsi="Corbel" w:cs="Arial"/>
          <w:sz w:val="22"/>
          <w:szCs w:val="22"/>
          <w:lang w:val="en-GB"/>
        </w:rPr>
        <w:t>outcome</w:t>
      </w:r>
      <w:r w:rsidR="00D2190D">
        <w:rPr>
          <w:rFonts w:ascii="Corbel" w:hAnsi="Corbel" w:cs="Arial"/>
          <w:sz w:val="22"/>
          <w:szCs w:val="22"/>
          <w:lang w:val="en-GB"/>
        </w:rPr>
        <w:t xml:space="preserve"> indicators have been </w:t>
      </w:r>
      <w:r w:rsidR="000F7182">
        <w:rPr>
          <w:rFonts w:ascii="Corbel" w:hAnsi="Corbel" w:cs="Arial"/>
          <w:sz w:val="22"/>
          <w:szCs w:val="22"/>
          <w:lang w:val="en-GB"/>
        </w:rPr>
        <w:t xml:space="preserve">revised in 2020 and </w:t>
      </w:r>
      <w:r w:rsidR="000E3C28">
        <w:rPr>
          <w:rFonts w:ascii="Corbel" w:hAnsi="Corbel" w:cs="Arial"/>
          <w:sz w:val="22"/>
          <w:szCs w:val="22"/>
          <w:lang w:val="en-GB"/>
        </w:rPr>
        <w:t xml:space="preserve">the assessment against </w:t>
      </w:r>
      <w:r w:rsidR="00950733">
        <w:rPr>
          <w:rFonts w:ascii="Corbel" w:hAnsi="Corbel" w:cs="Arial"/>
          <w:sz w:val="22"/>
          <w:szCs w:val="22"/>
          <w:lang w:val="en-GB"/>
        </w:rPr>
        <w:t xml:space="preserve">qualitative outcome indicators revised based on lessons learned and </w:t>
      </w:r>
      <w:r w:rsidR="00387397">
        <w:rPr>
          <w:rFonts w:ascii="Corbel" w:hAnsi="Corbel" w:cs="Arial"/>
          <w:sz w:val="22"/>
          <w:szCs w:val="22"/>
          <w:lang w:val="en-GB"/>
        </w:rPr>
        <w:t xml:space="preserve">information collected </w:t>
      </w:r>
      <w:r w:rsidR="00A8309C">
        <w:rPr>
          <w:rFonts w:ascii="Corbel" w:hAnsi="Corbel" w:cs="Arial"/>
          <w:sz w:val="22"/>
          <w:szCs w:val="22"/>
          <w:lang w:val="en-GB"/>
        </w:rPr>
        <w:t>through</w:t>
      </w:r>
      <w:r w:rsidR="00387397">
        <w:rPr>
          <w:rFonts w:ascii="Corbel" w:hAnsi="Corbel" w:cs="Arial"/>
          <w:sz w:val="22"/>
          <w:szCs w:val="22"/>
          <w:lang w:val="en-GB"/>
        </w:rPr>
        <w:t xml:space="preserve"> the duration of the project.</w:t>
      </w:r>
      <w:bookmarkEnd w:id="42"/>
    </w:p>
    <w:p w14:paraId="4D0F4193" w14:textId="77777777" w:rsidR="00023913" w:rsidRPr="00570ACC" w:rsidRDefault="00023913" w:rsidP="00E47EA3">
      <w:pPr>
        <w:tabs>
          <w:tab w:val="left" w:pos="7230"/>
        </w:tabs>
        <w:spacing w:line="276" w:lineRule="auto"/>
        <w:jc w:val="both"/>
        <w:outlineLvl w:val="0"/>
        <w:rPr>
          <w:rFonts w:ascii="Corbel" w:hAnsi="Corbel" w:cs="Arial"/>
          <w:b/>
          <w:bCs/>
          <w:sz w:val="22"/>
          <w:szCs w:val="22"/>
          <w:lang w:val="en-GB"/>
        </w:rPr>
      </w:pPr>
    </w:p>
    <w:p w14:paraId="58E9A3C6" w14:textId="4D168164" w:rsidR="00512CB3" w:rsidRPr="00D2664E" w:rsidRDefault="00512CB3" w:rsidP="00E47EA3">
      <w:pPr>
        <w:tabs>
          <w:tab w:val="left" w:pos="7230"/>
        </w:tabs>
        <w:spacing w:line="276" w:lineRule="auto"/>
        <w:jc w:val="both"/>
        <w:outlineLvl w:val="0"/>
        <w:rPr>
          <w:rFonts w:ascii="Corbel" w:hAnsi="Corbel" w:cs="Arial"/>
          <w:b/>
          <w:bCs/>
          <w:sz w:val="22"/>
          <w:szCs w:val="22"/>
          <w:u w:val="single"/>
          <w:lang w:val="en-GB"/>
        </w:rPr>
      </w:pPr>
      <w:bookmarkStart w:id="43" w:name="_Toc103506585"/>
      <w:bookmarkStart w:id="44" w:name="_Hlk102589907"/>
      <w:r w:rsidRPr="00D2664E">
        <w:rPr>
          <w:rFonts w:ascii="Corbel" w:hAnsi="Corbel" w:cs="Arial"/>
          <w:b/>
          <w:bCs/>
          <w:sz w:val="22"/>
          <w:szCs w:val="22"/>
          <w:u w:val="single"/>
          <w:lang w:val="en-GB"/>
        </w:rPr>
        <w:t>Outcome 1: LAS capacity strengthened to manage regional economic integration related processes.</w:t>
      </w:r>
      <w:bookmarkEnd w:id="43"/>
      <w:r w:rsidRPr="00D2664E">
        <w:rPr>
          <w:rFonts w:ascii="Corbel" w:hAnsi="Corbel" w:cs="Arial"/>
          <w:b/>
          <w:bCs/>
          <w:sz w:val="22"/>
          <w:szCs w:val="22"/>
          <w:u w:val="single"/>
          <w:lang w:val="en-GB"/>
        </w:rPr>
        <w:t xml:space="preserve"> </w:t>
      </w:r>
    </w:p>
    <w:p w14:paraId="488D25F9" w14:textId="7890C0B1" w:rsidR="000B2FBC" w:rsidRDefault="00A70FA0" w:rsidP="00E47EA3">
      <w:pPr>
        <w:tabs>
          <w:tab w:val="left" w:pos="7230"/>
        </w:tabs>
        <w:spacing w:line="276" w:lineRule="auto"/>
        <w:jc w:val="both"/>
        <w:outlineLvl w:val="0"/>
        <w:rPr>
          <w:rFonts w:ascii="Corbel" w:hAnsi="Corbel" w:cs="Arial"/>
          <w:sz w:val="22"/>
          <w:szCs w:val="22"/>
          <w:lang w:val="en-GB"/>
        </w:rPr>
      </w:pPr>
      <w:bookmarkStart w:id="45" w:name="_Toc103506586"/>
      <w:bookmarkEnd w:id="44"/>
      <w:r w:rsidRPr="00570ACC">
        <w:rPr>
          <w:rFonts w:ascii="Corbel" w:hAnsi="Corbel" w:cs="Arial"/>
          <w:sz w:val="22"/>
          <w:szCs w:val="22"/>
          <w:lang w:val="en-GB"/>
        </w:rPr>
        <w:t xml:space="preserve">The project reinforced the capacity of LAS </w:t>
      </w:r>
      <w:r w:rsidR="00546586" w:rsidRPr="00570ACC">
        <w:rPr>
          <w:rFonts w:ascii="Corbel" w:hAnsi="Corbel" w:cs="Arial"/>
          <w:sz w:val="22"/>
          <w:szCs w:val="22"/>
          <w:lang w:val="en-GB"/>
        </w:rPr>
        <w:t xml:space="preserve">to undertake analysis to inform policies related to </w:t>
      </w:r>
      <w:r w:rsidRPr="00570ACC">
        <w:rPr>
          <w:rFonts w:ascii="Corbel" w:hAnsi="Corbel" w:cs="Arial"/>
          <w:sz w:val="22"/>
          <w:szCs w:val="22"/>
          <w:lang w:val="en-GB"/>
        </w:rPr>
        <w:t>the Arab Agreement in trade in service</w:t>
      </w:r>
      <w:r w:rsidR="00546586" w:rsidRPr="00570ACC">
        <w:rPr>
          <w:rFonts w:ascii="Corbel" w:hAnsi="Corbel" w:cs="Arial"/>
          <w:sz w:val="22"/>
          <w:szCs w:val="22"/>
          <w:lang w:val="en-GB"/>
        </w:rPr>
        <w:t xml:space="preserve">, e-commerce, the green economy, construction services, and the Arab Customs Union (ACU). It </w:t>
      </w:r>
      <w:r w:rsidRPr="00570ACC">
        <w:rPr>
          <w:rFonts w:ascii="Corbel" w:hAnsi="Corbel" w:cs="Arial"/>
          <w:sz w:val="22"/>
          <w:szCs w:val="22"/>
          <w:lang w:val="en-GB"/>
        </w:rPr>
        <w:t>accelerat</w:t>
      </w:r>
      <w:r w:rsidR="00546586" w:rsidRPr="00570ACC">
        <w:rPr>
          <w:rFonts w:ascii="Corbel" w:hAnsi="Corbel" w:cs="Arial"/>
          <w:sz w:val="22"/>
          <w:szCs w:val="22"/>
          <w:lang w:val="en-GB"/>
        </w:rPr>
        <w:t>ed the</w:t>
      </w:r>
      <w:r w:rsidRPr="00570ACC">
        <w:rPr>
          <w:rFonts w:ascii="Corbel" w:hAnsi="Corbel" w:cs="Arial"/>
          <w:sz w:val="22"/>
          <w:szCs w:val="22"/>
          <w:lang w:val="en-GB"/>
        </w:rPr>
        <w:t xml:space="preserve"> </w:t>
      </w:r>
      <w:r w:rsidR="005D5736" w:rsidRPr="00570ACC">
        <w:rPr>
          <w:rFonts w:ascii="Corbel" w:hAnsi="Corbel" w:cs="Arial"/>
          <w:sz w:val="22"/>
          <w:szCs w:val="22"/>
          <w:lang w:val="en-GB"/>
        </w:rPr>
        <w:t xml:space="preserve">finalization </w:t>
      </w:r>
      <w:r w:rsidRPr="00570ACC">
        <w:rPr>
          <w:rFonts w:ascii="Corbel" w:hAnsi="Corbel" w:cs="Arial"/>
          <w:sz w:val="22"/>
          <w:szCs w:val="22"/>
          <w:lang w:val="en-GB"/>
        </w:rPr>
        <w:t>of outstanding tasks under the Executive Programme of PAFTA</w:t>
      </w:r>
      <w:r w:rsidR="00546586" w:rsidRPr="00570ACC">
        <w:rPr>
          <w:rFonts w:ascii="Corbel" w:hAnsi="Corbel" w:cs="Arial"/>
          <w:sz w:val="22"/>
          <w:szCs w:val="22"/>
          <w:lang w:val="en-GB"/>
        </w:rPr>
        <w:t xml:space="preserve">, enabling </w:t>
      </w:r>
      <w:r w:rsidR="00A93F92" w:rsidRPr="00570ACC">
        <w:rPr>
          <w:rFonts w:ascii="Corbel" w:hAnsi="Corbel" w:cs="Arial"/>
          <w:sz w:val="22"/>
          <w:szCs w:val="22"/>
          <w:lang w:val="en-GB"/>
        </w:rPr>
        <w:t xml:space="preserve">enhanced technical coordination </w:t>
      </w:r>
      <w:r w:rsidR="00025C09">
        <w:rPr>
          <w:rFonts w:ascii="Corbel" w:hAnsi="Corbel" w:cs="Arial"/>
          <w:sz w:val="22"/>
          <w:szCs w:val="22"/>
          <w:lang w:val="en-GB"/>
        </w:rPr>
        <w:t>among</w:t>
      </w:r>
      <w:r w:rsidR="00A93F92" w:rsidRPr="00570ACC">
        <w:rPr>
          <w:rFonts w:ascii="Corbel" w:hAnsi="Corbel" w:cs="Arial"/>
          <w:sz w:val="22"/>
          <w:szCs w:val="22"/>
          <w:lang w:val="en-GB"/>
        </w:rPr>
        <w:t xml:space="preserve"> PAFTA members and </w:t>
      </w:r>
      <w:r w:rsidR="00546586" w:rsidRPr="00570ACC">
        <w:rPr>
          <w:rFonts w:ascii="Corbel" w:hAnsi="Corbel" w:cs="Arial"/>
          <w:sz w:val="22"/>
          <w:szCs w:val="22"/>
          <w:lang w:val="en-GB"/>
        </w:rPr>
        <w:t>developing the capacities of</w:t>
      </w:r>
      <w:r w:rsidR="00A93F92" w:rsidRPr="00570ACC">
        <w:rPr>
          <w:rFonts w:ascii="Corbel" w:hAnsi="Corbel" w:cs="Arial"/>
          <w:sz w:val="22"/>
          <w:szCs w:val="22"/>
          <w:lang w:val="en-GB"/>
        </w:rPr>
        <w:t xml:space="preserve"> the </w:t>
      </w:r>
      <w:r w:rsidR="00025C09">
        <w:rPr>
          <w:rFonts w:ascii="Corbel" w:hAnsi="Corbel" w:cs="Arial"/>
          <w:sz w:val="22"/>
          <w:szCs w:val="22"/>
          <w:lang w:val="en-GB"/>
        </w:rPr>
        <w:t xml:space="preserve">PAFTA </w:t>
      </w:r>
      <w:r w:rsidR="00A93F92" w:rsidRPr="00570ACC">
        <w:rPr>
          <w:rFonts w:ascii="Corbel" w:hAnsi="Corbel" w:cs="Arial"/>
          <w:sz w:val="22"/>
          <w:szCs w:val="22"/>
          <w:lang w:val="en-GB"/>
        </w:rPr>
        <w:t xml:space="preserve">Technical Secretariat. </w:t>
      </w:r>
      <w:r w:rsidR="00025C09">
        <w:rPr>
          <w:rFonts w:ascii="Corbel" w:hAnsi="Corbel" w:cs="Arial"/>
          <w:sz w:val="22"/>
          <w:szCs w:val="22"/>
          <w:lang w:val="en-GB"/>
        </w:rPr>
        <w:t>For example, t</w:t>
      </w:r>
      <w:r w:rsidR="005A1EB6" w:rsidRPr="00570ACC">
        <w:rPr>
          <w:rFonts w:ascii="Corbel" w:hAnsi="Corbel" w:cs="Arial"/>
          <w:sz w:val="22"/>
          <w:szCs w:val="22"/>
          <w:lang w:val="en-GB"/>
        </w:rPr>
        <w:t xml:space="preserve">he project assisted the Technical Secretariat to </w:t>
      </w:r>
      <w:r w:rsidR="00230659">
        <w:rPr>
          <w:rFonts w:ascii="Corbel" w:hAnsi="Corbel" w:cs="Arial"/>
          <w:sz w:val="22"/>
          <w:szCs w:val="22"/>
          <w:lang w:val="en-GB"/>
        </w:rPr>
        <w:t>improve</w:t>
      </w:r>
      <w:r w:rsidR="005A1EB6" w:rsidRPr="00570ACC">
        <w:rPr>
          <w:rFonts w:ascii="Corbel" w:hAnsi="Corbel" w:cs="Arial"/>
          <w:sz w:val="22"/>
          <w:szCs w:val="22"/>
          <w:lang w:val="en-GB"/>
        </w:rPr>
        <w:t xml:space="preserve"> the</w:t>
      </w:r>
      <w:r w:rsidR="007C7224">
        <w:rPr>
          <w:rFonts w:ascii="Corbel" w:hAnsi="Corbel" w:cs="Arial"/>
          <w:sz w:val="22"/>
          <w:szCs w:val="22"/>
          <w:lang w:val="en-GB"/>
        </w:rPr>
        <w:t>ir</w:t>
      </w:r>
      <w:r w:rsidR="005A1EB6" w:rsidRPr="00570ACC">
        <w:rPr>
          <w:rFonts w:ascii="Corbel" w:hAnsi="Corbel" w:cs="Arial"/>
          <w:sz w:val="22"/>
          <w:szCs w:val="22"/>
          <w:lang w:val="en-GB"/>
        </w:rPr>
        <w:t xml:space="preserve"> reporting </w:t>
      </w:r>
      <w:r w:rsidR="007C7224">
        <w:rPr>
          <w:rFonts w:ascii="Corbel" w:hAnsi="Corbel" w:cs="Arial"/>
          <w:sz w:val="22"/>
          <w:szCs w:val="22"/>
          <w:lang w:val="en-GB"/>
        </w:rPr>
        <w:t>on</w:t>
      </w:r>
      <w:r w:rsidR="005A1EB6" w:rsidRPr="00570ACC">
        <w:rPr>
          <w:rFonts w:ascii="Corbel" w:hAnsi="Corbel" w:cs="Arial"/>
          <w:sz w:val="22"/>
          <w:szCs w:val="22"/>
          <w:lang w:val="en-GB"/>
        </w:rPr>
        <w:t xml:space="preserve"> the progress in deepening Arab economic integration.</w:t>
      </w:r>
      <w:bookmarkEnd w:id="45"/>
    </w:p>
    <w:p w14:paraId="1AA1B8D3" w14:textId="77777777" w:rsidR="007C7224" w:rsidRPr="00570ACC" w:rsidRDefault="007C7224" w:rsidP="00E47EA3">
      <w:pPr>
        <w:tabs>
          <w:tab w:val="left" w:pos="7230"/>
        </w:tabs>
        <w:spacing w:line="276" w:lineRule="auto"/>
        <w:jc w:val="both"/>
        <w:outlineLvl w:val="0"/>
        <w:rPr>
          <w:rFonts w:ascii="Corbel" w:hAnsi="Corbel" w:cs="Arial"/>
          <w:sz w:val="22"/>
          <w:szCs w:val="22"/>
          <w:lang w:val="en-GB"/>
        </w:rPr>
      </w:pPr>
    </w:p>
    <w:p w14:paraId="778C09AF" w14:textId="27F99D7D" w:rsidR="005A1EB6" w:rsidRPr="00570ACC" w:rsidRDefault="00B636BA" w:rsidP="00E47EA3">
      <w:pPr>
        <w:tabs>
          <w:tab w:val="left" w:pos="7230"/>
        </w:tabs>
        <w:spacing w:line="276" w:lineRule="auto"/>
        <w:jc w:val="both"/>
        <w:outlineLvl w:val="0"/>
        <w:rPr>
          <w:rFonts w:ascii="Corbel" w:hAnsi="Corbel" w:cs="Arial"/>
          <w:sz w:val="22"/>
          <w:szCs w:val="22"/>
          <w:lang w:val="en-GB"/>
        </w:rPr>
      </w:pPr>
      <w:bookmarkStart w:id="46" w:name="_Toc103506587"/>
      <w:r>
        <w:rPr>
          <w:rFonts w:ascii="Corbel" w:hAnsi="Corbel" w:cs="Arial"/>
          <w:sz w:val="22"/>
          <w:szCs w:val="22"/>
          <w:lang w:val="en-GB"/>
        </w:rPr>
        <w:t>Technical assistance in this area</w:t>
      </w:r>
      <w:r w:rsidR="000B2FBC" w:rsidRPr="00570ACC">
        <w:rPr>
          <w:rFonts w:ascii="Corbel" w:hAnsi="Corbel" w:cs="Arial"/>
          <w:sz w:val="22"/>
          <w:szCs w:val="22"/>
          <w:lang w:val="en-GB"/>
        </w:rPr>
        <w:t xml:space="preserve"> factored in new developments taking place in the proximity of Arab countries</w:t>
      </w:r>
      <w:r w:rsidR="00FF5ABE">
        <w:rPr>
          <w:rFonts w:ascii="Corbel" w:hAnsi="Corbel" w:cs="Arial"/>
          <w:sz w:val="22"/>
          <w:szCs w:val="22"/>
          <w:lang w:val="en-GB"/>
        </w:rPr>
        <w:t>,</w:t>
      </w:r>
      <w:r w:rsidR="000B2FBC" w:rsidRPr="00570ACC">
        <w:rPr>
          <w:rFonts w:ascii="Corbel" w:hAnsi="Corbel" w:cs="Arial"/>
          <w:sz w:val="22"/>
          <w:szCs w:val="22"/>
          <w:lang w:val="en-GB"/>
        </w:rPr>
        <w:t xml:space="preserve"> like </w:t>
      </w:r>
      <w:r w:rsidR="00FF5ABE">
        <w:rPr>
          <w:rFonts w:ascii="Corbel" w:hAnsi="Corbel" w:cs="Arial"/>
          <w:sz w:val="22"/>
          <w:szCs w:val="22"/>
          <w:lang w:val="en-GB"/>
        </w:rPr>
        <w:t xml:space="preserve">progress in the implementation of </w:t>
      </w:r>
      <w:r w:rsidR="000B2FBC" w:rsidRPr="00570ACC">
        <w:rPr>
          <w:rFonts w:ascii="Corbel" w:hAnsi="Corbel" w:cs="Arial"/>
          <w:sz w:val="22"/>
          <w:szCs w:val="22"/>
          <w:lang w:val="en-GB"/>
        </w:rPr>
        <w:t>the African Continental Free Trade Area (</w:t>
      </w:r>
      <w:proofErr w:type="spellStart"/>
      <w:r w:rsidR="000B2FBC" w:rsidRPr="00570ACC">
        <w:rPr>
          <w:rFonts w:ascii="Corbel" w:hAnsi="Corbel" w:cs="Arial"/>
          <w:sz w:val="22"/>
          <w:szCs w:val="22"/>
          <w:lang w:val="en-GB"/>
        </w:rPr>
        <w:t>AfCTA</w:t>
      </w:r>
      <w:proofErr w:type="spellEnd"/>
      <w:r w:rsidR="000B2FBC" w:rsidRPr="00570ACC">
        <w:rPr>
          <w:rFonts w:ascii="Corbel" w:hAnsi="Corbel" w:cs="Arial"/>
          <w:sz w:val="22"/>
          <w:szCs w:val="22"/>
          <w:lang w:val="en-GB"/>
        </w:rPr>
        <w:t>)</w:t>
      </w:r>
      <w:r w:rsidR="00FF5ABE">
        <w:rPr>
          <w:rFonts w:ascii="Corbel" w:hAnsi="Corbel" w:cs="Arial"/>
          <w:sz w:val="22"/>
          <w:szCs w:val="22"/>
          <w:lang w:val="en-GB"/>
        </w:rPr>
        <w:t>,</w:t>
      </w:r>
      <w:r w:rsidR="000B2FBC" w:rsidRPr="00570ACC">
        <w:rPr>
          <w:rFonts w:ascii="Corbel" w:hAnsi="Corbel" w:cs="Arial"/>
          <w:sz w:val="22"/>
          <w:szCs w:val="22"/>
          <w:lang w:val="en-GB"/>
        </w:rPr>
        <w:t xml:space="preserve"> as well as readjustment of policies and measures to respond to </w:t>
      </w:r>
      <w:r w:rsidR="00616796">
        <w:rPr>
          <w:rFonts w:ascii="Corbel" w:hAnsi="Corbel" w:cs="Arial"/>
          <w:sz w:val="22"/>
          <w:szCs w:val="22"/>
          <w:lang w:val="en-GB"/>
        </w:rPr>
        <w:t>the impact of the</w:t>
      </w:r>
      <w:r w:rsidR="000B2FBC" w:rsidRPr="00570ACC">
        <w:rPr>
          <w:rFonts w:ascii="Corbel" w:hAnsi="Corbel" w:cs="Arial"/>
          <w:sz w:val="22"/>
          <w:szCs w:val="22"/>
          <w:lang w:val="en-GB"/>
        </w:rPr>
        <w:t xml:space="preserve"> Covid-19</w:t>
      </w:r>
      <w:r w:rsidR="00616796">
        <w:rPr>
          <w:rFonts w:ascii="Corbel" w:hAnsi="Corbel" w:cs="Arial"/>
          <w:sz w:val="22"/>
          <w:szCs w:val="22"/>
          <w:lang w:val="en-GB"/>
        </w:rPr>
        <w:t xml:space="preserve"> pandemic</w:t>
      </w:r>
      <w:r w:rsidR="000B2FBC" w:rsidRPr="00570ACC">
        <w:rPr>
          <w:rFonts w:ascii="Corbel" w:hAnsi="Corbel" w:cs="Arial"/>
          <w:sz w:val="22"/>
          <w:szCs w:val="22"/>
          <w:lang w:val="en-GB"/>
        </w:rPr>
        <w:t>.</w:t>
      </w:r>
      <w:r w:rsidR="00184FE6" w:rsidRPr="00570ACC">
        <w:rPr>
          <w:rFonts w:ascii="Corbel" w:hAnsi="Corbel" w:cs="Arial"/>
          <w:sz w:val="22"/>
          <w:szCs w:val="22"/>
          <w:lang w:val="en-GB"/>
        </w:rPr>
        <w:t xml:space="preserve"> </w:t>
      </w:r>
      <w:r w:rsidR="00B879E2">
        <w:rPr>
          <w:rFonts w:ascii="Corbel" w:hAnsi="Corbel" w:cs="Arial"/>
          <w:sz w:val="22"/>
          <w:szCs w:val="22"/>
          <w:lang w:val="en-GB"/>
        </w:rPr>
        <w:t xml:space="preserve">During the </w:t>
      </w:r>
      <w:r w:rsidR="00BA323D">
        <w:rPr>
          <w:rFonts w:ascii="Corbel" w:hAnsi="Corbel" w:cs="Arial"/>
          <w:sz w:val="22"/>
          <w:szCs w:val="22"/>
          <w:lang w:val="en-GB"/>
        </w:rPr>
        <w:t>four years of project implementation, various factors influenced the evolution of</w:t>
      </w:r>
      <w:r w:rsidR="00184FE6" w:rsidRPr="00570ACC">
        <w:rPr>
          <w:rFonts w:ascii="Corbel" w:hAnsi="Corbel" w:cs="Arial"/>
          <w:sz w:val="22"/>
          <w:szCs w:val="22"/>
          <w:lang w:val="en-GB"/>
        </w:rPr>
        <w:t xml:space="preserve"> national priorit</w:t>
      </w:r>
      <w:r w:rsidR="000E1FA6">
        <w:rPr>
          <w:rFonts w:ascii="Corbel" w:hAnsi="Corbel" w:cs="Arial"/>
          <w:sz w:val="22"/>
          <w:szCs w:val="22"/>
          <w:lang w:val="en-GB"/>
        </w:rPr>
        <w:t>ies</w:t>
      </w:r>
      <w:r w:rsidR="00184FE6" w:rsidRPr="00570ACC">
        <w:rPr>
          <w:rFonts w:ascii="Corbel" w:hAnsi="Corbel" w:cs="Arial"/>
          <w:sz w:val="22"/>
          <w:szCs w:val="22"/>
          <w:lang w:val="en-GB"/>
        </w:rPr>
        <w:t xml:space="preserve"> in trade matters</w:t>
      </w:r>
      <w:r w:rsidR="000E1FA6">
        <w:rPr>
          <w:rFonts w:ascii="Corbel" w:hAnsi="Corbel" w:cs="Arial"/>
          <w:sz w:val="22"/>
          <w:szCs w:val="22"/>
          <w:lang w:val="en-GB"/>
        </w:rPr>
        <w:t xml:space="preserve">, </w:t>
      </w:r>
      <w:r w:rsidR="00A34623">
        <w:rPr>
          <w:rFonts w:ascii="Corbel" w:hAnsi="Corbel" w:cs="Arial"/>
          <w:sz w:val="22"/>
          <w:szCs w:val="22"/>
          <w:lang w:val="en-GB"/>
        </w:rPr>
        <w:t>triggering</w:t>
      </w:r>
      <w:r w:rsidR="000E1FA6">
        <w:rPr>
          <w:rFonts w:ascii="Corbel" w:hAnsi="Corbel" w:cs="Arial"/>
          <w:sz w:val="22"/>
          <w:szCs w:val="22"/>
          <w:lang w:val="en-GB"/>
        </w:rPr>
        <w:t xml:space="preserve"> the adjustment </w:t>
      </w:r>
      <w:r w:rsidR="00A34623">
        <w:rPr>
          <w:rFonts w:ascii="Corbel" w:hAnsi="Corbel" w:cs="Arial"/>
          <w:sz w:val="22"/>
          <w:szCs w:val="22"/>
          <w:lang w:val="en-GB"/>
        </w:rPr>
        <w:t xml:space="preserve">of </w:t>
      </w:r>
      <w:r w:rsidR="000E1FA6">
        <w:rPr>
          <w:rFonts w:ascii="Corbel" w:hAnsi="Corbel" w:cs="Arial"/>
          <w:sz w:val="22"/>
          <w:szCs w:val="22"/>
          <w:lang w:val="en-GB"/>
        </w:rPr>
        <w:t xml:space="preserve">project </w:t>
      </w:r>
      <w:r w:rsidR="00184FE6" w:rsidRPr="00570ACC">
        <w:rPr>
          <w:rFonts w:ascii="Corbel" w:hAnsi="Corbel" w:cs="Arial"/>
          <w:sz w:val="22"/>
          <w:szCs w:val="22"/>
          <w:lang w:val="en-GB"/>
        </w:rPr>
        <w:t>activities.</w:t>
      </w:r>
      <w:bookmarkEnd w:id="46"/>
    </w:p>
    <w:p w14:paraId="1F3A8EDE" w14:textId="062DE675" w:rsidR="00A70FA0" w:rsidRPr="00570ACC" w:rsidRDefault="00A70FA0" w:rsidP="00E47EA3">
      <w:pPr>
        <w:tabs>
          <w:tab w:val="left" w:pos="7230"/>
        </w:tabs>
        <w:spacing w:line="276" w:lineRule="auto"/>
        <w:jc w:val="both"/>
        <w:outlineLvl w:val="0"/>
        <w:rPr>
          <w:rFonts w:ascii="Corbel" w:hAnsi="Corbel" w:cs="Arial"/>
          <w:sz w:val="22"/>
          <w:szCs w:val="22"/>
          <w:lang w:val="en-GB"/>
        </w:rPr>
      </w:pPr>
    </w:p>
    <w:p w14:paraId="5DD7C3DF" w14:textId="41274A14" w:rsidR="00184FE6" w:rsidRPr="004D0FC5" w:rsidRDefault="001D77E2" w:rsidP="00E47EA3">
      <w:pPr>
        <w:tabs>
          <w:tab w:val="left" w:pos="7230"/>
        </w:tabs>
        <w:spacing w:line="276" w:lineRule="auto"/>
        <w:jc w:val="both"/>
        <w:outlineLvl w:val="0"/>
        <w:rPr>
          <w:rFonts w:ascii="Corbel" w:hAnsi="Corbel" w:cs="Arial"/>
          <w:b/>
          <w:bCs/>
          <w:i/>
          <w:iCs/>
          <w:sz w:val="22"/>
          <w:szCs w:val="22"/>
          <w:lang w:val="en-GB"/>
        </w:rPr>
      </w:pPr>
      <w:bookmarkStart w:id="47" w:name="_Toc103506588"/>
      <w:r w:rsidRPr="00D2664E">
        <w:rPr>
          <w:rFonts w:ascii="Corbel" w:hAnsi="Corbel" w:cs="Arial"/>
          <w:b/>
          <w:bCs/>
          <w:i/>
          <w:iCs/>
          <w:sz w:val="22"/>
          <w:szCs w:val="22"/>
          <w:lang w:val="en-GB"/>
        </w:rPr>
        <w:t xml:space="preserve">Key </w:t>
      </w:r>
      <w:r w:rsidR="00756EB2" w:rsidRPr="00D2664E">
        <w:rPr>
          <w:rFonts w:ascii="Corbel" w:hAnsi="Corbel" w:cs="Arial"/>
          <w:b/>
          <w:bCs/>
          <w:i/>
          <w:iCs/>
          <w:sz w:val="22"/>
          <w:szCs w:val="22"/>
          <w:lang w:val="en-GB"/>
        </w:rPr>
        <w:t>benchmarks of achievement</w:t>
      </w:r>
      <w:r w:rsidR="00CC0EA9" w:rsidRPr="00D2664E">
        <w:rPr>
          <w:rFonts w:ascii="Corbel" w:hAnsi="Corbel" w:cs="Arial"/>
          <w:b/>
          <w:bCs/>
          <w:i/>
          <w:iCs/>
          <w:sz w:val="22"/>
          <w:szCs w:val="22"/>
          <w:lang w:val="en-GB"/>
        </w:rPr>
        <w:t xml:space="preserve"> against the outcome attributable to UNDP contribution:</w:t>
      </w:r>
      <w:bookmarkEnd w:id="47"/>
    </w:p>
    <w:p w14:paraId="555E14B9" w14:textId="4D3B0DAC" w:rsidR="005A1EB6" w:rsidRPr="00570ACC" w:rsidRDefault="00425853" w:rsidP="000168EC">
      <w:pPr>
        <w:pStyle w:val="ListParagraph"/>
        <w:numPr>
          <w:ilvl w:val="0"/>
          <w:numId w:val="5"/>
        </w:numPr>
        <w:tabs>
          <w:tab w:val="left" w:pos="7230"/>
        </w:tabs>
        <w:spacing w:line="276" w:lineRule="auto"/>
        <w:ind w:left="567" w:hanging="567"/>
        <w:contextualSpacing w:val="0"/>
        <w:jc w:val="both"/>
        <w:outlineLvl w:val="0"/>
        <w:rPr>
          <w:rFonts w:ascii="Corbel" w:hAnsi="Corbel" w:cs="Arial"/>
          <w:sz w:val="22"/>
          <w:szCs w:val="22"/>
          <w:lang w:val="en-GB"/>
        </w:rPr>
      </w:pPr>
      <w:bookmarkStart w:id="48" w:name="_Toc103506589"/>
      <w:r>
        <w:rPr>
          <w:rFonts w:ascii="Corbel" w:hAnsi="Corbel" w:cs="Arial"/>
          <w:sz w:val="22"/>
          <w:szCs w:val="22"/>
          <w:lang w:val="en-GB"/>
        </w:rPr>
        <w:t xml:space="preserve">The </w:t>
      </w:r>
      <w:r w:rsidR="00A8309C">
        <w:rPr>
          <w:rFonts w:ascii="Corbel" w:hAnsi="Corbel" w:cs="Arial"/>
          <w:sz w:val="22"/>
          <w:szCs w:val="22"/>
          <w:lang w:val="en-GB"/>
        </w:rPr>
        <w:t>kick-off</w:t>
      </w:r>
      <w:r>
        <w:rPr>
          <w:rFonts w:ascii="Corbel" w:hAnsi="Corbel" w:cs="Arial"/>
          <w:sz w:val="22"/>
          <w:szCs w:val="22"/>
          <w:lang w:val="en-GB"/>
        </w:rPr>
        <w:t xml:space="preserve"> of </w:t>
      </w:r>
      <w:r w:rsidR="008006A1">
        <w:rPr>
          <w:rFonts w:ascii="Corbel" w:hAnsi="Corbel" w:cs="Arial"/>
          <w:sz w:val="22"/>
          <w:szCs w:val="22"/>
          <w:lang w:val="en-GB"/>
        </w:rPr>
        <w:t xml:space="preserve">member states </w:t>
      </w:r>
      <w:r w:rsidR="00FE2645">
        <w:rPr>
          <w:rFonts w:ascii="Corbel" w:hAnsi="Corbel" w:cs="Arial"/>
          <w:sz w:val="22"/>
          <w:szCs w:val="22"/>
          <w:lang w:val="en-GB"/>
        </w:rPr>
        <w:t>consultations</w:t>
      </w:r>
      <w:r w:rsidR="008006A1">
        <w:rPr>
          <w:rFonts w:ascii="Corbel" w:hAnsi="Corbel" w:cs="Arial"/>
          <w:sz w:val="22"/>
          <w:szCs w:val="22"/>
          <w:lang w:val="en-GB"/>
        </w:rPr>
        <w:t xml:space="preserve"> on the Arab Customs Union, informed by </w:t>
      </w:r>
      <w:r w:rsidR="000B481C">
        <w:rPr>
          <w:rFonts w:ascii="Corbel" w:hAnsi="Corbel" w:cs="Arial"/>
          <w:sz w:val="22"/>
          <w:szCs w:val="22"/>
          <w:lang w:val="en-GB"/>
        </w:rPr>
        <w:t>a detailed</w:t>
      </w:r>
      <w:r w:rsidR="005A1EB6" w:rsidRPr="00570ACC">
        <w:rPr>
          <w:rFonts w:ascii="Corbel" w:hAnsi="Corbel" w:cs="Arial"/>
          <w:sz w:val="22"/>
          <w:szCs w:val="22"/>
          <w:lang w:val="en-GB"/>
        </w:rPr>
        <w:t xml:space="preserve"> analysis of </w:t>
      </w:r>
      <w:r w:rsidR="000B481C">
        <w:rPr>
          <w:rFonts w:ascii="Corbel" w:hAnsi="Corbel" w:cs="Arial"/>
          <w:sz w:val="22"/>
          <w:szCs w:val="22"/>
          <w:lang w:val="en-GB"/>
        </w:rPr>
        <w:t xml:space="preserve">the ACU </w:t>
      </w:r>
      <w:r w:rsidR="005A1EB6" w:rsidRPr="00570ACC">
        <w:rPr>
          <w:rFonts w:ascii="Corbel" w:hAnsi="Corbel" w:cs="Arial"/>
          <w:sz w:val="22"/>
          <w:szCs w:val="22"/>
          <w:lang w:val="en-GB"/>
        </w:rPr>
        <w:t>potential impacts to national revenues</w:t>
      </w:r>
      <w:r w:rsidR="000B481C">
        <w:rPr>
          <w:rFonts w:ascii="Corbel" w:hAnsi="Corbel" w:cs="Arial"/>
          <w:sz w:val="22"/>
          <w:szCs w:val="22"/>
          <w:lang w:val="en-GB"/>
        </w:rPr>
        <w:t>,</w:t>
      </w:r>
      <w:r w:rsidR="005A1EB6" w:rsidRPr="00570ACC">
        <w:rPr>
          <w:rFonts w:ascii="Corbel" w:hAnsi="Corbel" w:cs="Arial"/>
          <w:sz w:val="22"/>
          <w:szCs w:val="22"/>
          <w:lang w:val="en-GB"/>
        </w:rPr>
        <w:t xml:space="preserve"> trade, </w:t>
      </w:r>
      <w:r w:rsidR="000B481C">
        <w:rPr>
          <w:rFonts w:ascii="Corbel" w:hAnsi="Corbel" w:cs="Arial"/>
          <w:sz w:val="22"/>
          <w:szCs w:val="22"/>
          <w:lang w:val="en-GB"/>
        </w:rPr>
        <w:t xml:space="preserve">and </w:t>
      </w:r>
      <w:r w:rsidR="005A1EB6" w:rsidRPr="00570ACC">
        <w:rPr>
          <w:rFonts w:ascii="Corbel" w:hAnsi="Corbel" w:cs="Arial"/>
          <w:sz w:val="22"/>
          <w:szCs w:val="22"/>
          <w:lang w:val="en-GB"/>
        </w:rPr>
        <w:t>industrial policies.</w:t>
      </w:r>
      <w:bookmarkEnd w:id="48"/>
    </w:p>
    <w:p w14:paraId="1CB23D7E" w14:textId="39868808" w:rsidR="005A1EB6" w:rsidRDefault="005A1EB6" w:rsidP="000168EC">
      <w:pPr>
        <w:pStyle w:val="ListParagraph"/>
        <w:numPr>
          <w:ilvl w:val="0"/>
          <w:numId w:val="5"/>
        </w:numPr>
        <w:tabs>
          <w:tab w:val="left" w:pos="7230"/>
        </w:tabs>
        <w:spacing w:line="276" w:lineRule="auto"/>
        <w:ind w:left="567" w:hanging="567"/>
        <w:contextualSpacing w:val="0"/>
        <w:jc w:val="both"/>
        <w:outlineLvl w:val="0"/>
        <w:rPr>
          <w:rFonts w:ascii="Corbel" w:hAnsi="Corbel" w:cs="Arial"/>
          <w:sz w:val="22"/>
          <w:szCs w:val="22"/>
          <w:lang w:val="en-GB"/>
        </w:rPr>
      </w:pPr>
      <w:bookmarkStart w:id="49" w:name="_Toc103506590"/>
      <w:r w:rsidRPr="00570ACC">
        <w:rPr>
          <w:rFonts w:ascii="Corbel" w:hAnsi="Corbel" w:cs="Arial"/>
          <w:sz w:val="22"/>
          <w:szCs w:val="22"/>
          <w:lang w:val="en-GB"/>
        </w:rPr>
        <w:t xml:space="preserve">The </w:t>
      </w:r>
      <w:r w:rsidR="00EC287F">
        <w:rPr>
          <w:rFonts w:ascii="Corbel" w:hAnsi="Corbel" w:cs="Arial"/>
          <w:sz w:val="22"/>
          <w:szCs w:val="22"/>
          <w:lang w:val="en-GB"/>
        </w:rPr>
        <w:t xml:space="preserve">presentation </w:t>
      </w:r>
      <w:r w:rsidRPr="00570ACC">
        <w:rPr>
          <w:rFonts w:ascii="Corbel" w:hAnsi="Corbel" w:cs="Arial"/>
          <w:sz w:val="22"/>
          <w:szCs w:val="22"/>
          <w:lang w:val="en-GB"/>
        </w:rPr>
        <w:t>for policy consideration by countries</w:t>
      </w:r>
      <w:r w:rsidR="00E50579" w:rsidRPr="00E50579">
        <w:rPr>
          <w:rFonts w:ascii="Corbel" w:hAnsi="Corbel" w:cs="Arial"/>
          <w:sz w:val="22"/>
          <w:szCs w:val="22"/>
          <w:lang w:val="en-GB"/>
        </w:rPr>
        <w:t xml:space="preserve"> </w:t>
      </w:r>
      <w:r w:rsidR="00E50579">
        <w:rPr>
          <w:rFonts w:ascii="Corbel" w:hAnsi="Corbel" w:cs="Arial"/>
          <w:sz w:val="22"/>
          <w:szCs w:val="22"/>
          <w:lang w:val="en-GB"/>
        </w:rPr>
        <w:t xml:space="preserve">of the </w:t>
      </w:r>
      <w:r w:rsidR="00E50579" w:rsidRPr="00570ACC">
        <w:rPr>
          <w:rFonts w:ascii="Corbel" w:hAnsi="Corbel" w:cs="Arial"/>
          <w:sz w:val="22"/>
          <w:szCs w:val="22"/>
          <w:lang w:val="en-GB"/>
        </w:rPr>
        <w:t>draft Agreement on Arab Customs Union</w:t>
      </w:r>
      <w:r w:rsidR="00976C1E">
        <w:rPr>
          <w:rFonts w:ascii="Corbel" w:hAnsi="Corbel" w:cs="Arial"/>
          <w:sz w:val="22"/>
          <w:szCs w:val="22"/>
          <w:lang w:val="en-GB"/>
        </w:rPr>
        <w:t xml:space="preserve"> and an</w:t>
      </w:r>
      <w:r w:rsidRPr="00570ACC">
        <w:rPr>
          <w:rFonts w:ascii="Corbel" w:hAnsi="Corbel" w:cs="Arial"/>
          <w:sz w:val="22"/>
          <w:szCs w:val="22"/>
          <w:lang w:val="en-GB"/>
        </w:rPr>
        <w:t xml:space="preserve"> analysis of </w:t>
      </w:r>
      <w:r w:rsidR="00976C1E">
        <w:rPr>
          <w:rFonts w:ascii="Corbel" w:hAnsi="Corbel" w:cs="Arial"/>
          <w:sz w:val="22"/>
          <w:szCs w:val="22"/>
          <w:lang w:val="en-GB"/>
        </w:rPr>
        <w:t>its</w:t>
      </w:r>
      <w:r w:rsidRPr="00570ACC">
        <w:rPr>
          <w:rFonts w:ascii="Corbel" w:hAnsi="Corbel" w:cs="Arial"/>
          <w:sz w:val="22"/>
          <w:szCs w:val="22"/>
          <w:lang w:val="en-GB"/>
        </w:rPr>
        <w:t xml:space="preserve"> expected governance model.</w:t>
      </w:r>
      <w:bookmarkEnd w:id="49"/>
    </w:p>
    <w:p w14:paraId="1A5FBBD4" w14:textId="7316203F" w:rsidR="00357493" w:rsidRPr="00570ACC" w:rsidRDefault="00357493" w:rsidP="000168EC">
      <w:pPr>
        <w:pStyle w:val="ListParagraph"/>
        <w:numPr>
          <w:ilvl w:val="0"/>
          <w:numId w:val="5"/>
        </w:numPr>
        <w:tabs>
          <w:tab w:val="left" w:pos="7230"/>
        </w:tabs>
        <w:spacing w:line="276" w:lineRule="auto"/>
        <w:ind w:left="567" w:hanging="567"/>
        <w:jc w:val="both"/>
        <w:outlineLvl w:val="0"/>
        <w:rPr>
          <w:rFonts w:ascii="Corbel" w:hAnsi="Corbel" w:cs="Arial"/>
          <w:sz w:val="22"/>
          <w:szCs w:val="22"/>
          <w:lang w:val="en-GB"/>
        </w:rPr>
      </w:pPr>
      <w:bookmarkStart w:id="50" w:name="_Toc103506591"/>
      <w:r w:rsidRPr="4F6DD0A6">
        <w:rPr>
          <w:rFonts w:ascii="Corbel" w:hAnsi="Corbel" w:cs="Arial"/>
          <w:sz w:val="22"/>
          <w:szCs w:val="22"/>
          <w:lang w:val="en-GB"/>
        </w:rPr>
        <w:t>The entry into force and promotion of the Agreement in trade in services.</w:t>
      </w:r>
      <w:bookmarkEnd w:id="50"/>
    </w:p>
    <w:p w14:paraId="077182CF" w14:textId="2ADD4886" w:rsidR="005A1EB6" w:rsidRPr="00570ACC" w:rsidRDefault="005A1EB6" w:rsidP="000168EC">
      <w:pPr>
        <w:pStyle w:val="ListParagraph"/>
        <w:numPr>
          <w:ilvl w:val="0"/>
          <w:numId w:val="5"/>
        </w:numPr>
        <w:tabs>
          <w:tab w:val="left" w:pos="7230"/>
        </w:tabs>
        <w:spacing w:line="276" w:lineRule="auto"/>
        <w:ind w:left="567" w:hanging="567"/>
        <w:jc w:val="both"/>
        <w:outlineLvl w:val="0"/>
        <w:rPr>
          <w:rFonts w:ascii="Corbel" w:hAnsi="Corbel" w:cs="Arial"/>
          <w:sz w:val="22"/>
          <w:szCs w:val="22"/>
          <w:lang w:val="en-GB"/>
        </w:rPr>
      </w:pPr>
      <w:bookmarkStart w:id="51" w:name="_Toc103506592"/>
      <w:r w:rsidRPr="4F6DD0A6">
        <w:rPr>
          <w:rFonts w:ascii="Corbel" w:hAnsi="Corbel" w:cs="Arial"/>
          <w:sz w:val="22"/>
          <w:szCs w:val="22"/>
          <w:lang w:val="en-GB"/>
        </w:rPr>
        <w:t>The adoption by Arab countries of the institutional arrangements of the draft protocol on trade facilitation.</w:t>
      </w:r>
      <w:bookmarkEnd w:id="51"/>
    </w:p>
    <w:p w14:paraId="49B63E66" w14:textId="77777777" w:rsidR="00AB4D22" w:rsidRDefault="0050755D" w:rsidP="000168EC">
      <w:pPr>
        <w:pStyle w:val="ListParagraph"/>
        <w:numPr>
          <w:ilvl w:val="0"/>
          <w:numId w:val="5"/>
        </w:numPr>
        <w:tabs>
          <w:tab w:val="left" w:pos="7230"/>
        </w:tabs>
        <w:spacing w:line="276" w:lineRule="auto"/>
        <w:ind w:left="567" w:hanging="567"/>
        <w:contextualSpacing w:val="0"/>
        <w:jc w:val="both"/>
        <w:outlineLvl w:val="0"/>
        <w:rPr>
          <w:rFonts w:ascii="Corbel" w:hAnsi="Corbel" w:cs="Arial"/>
          <w:sz w:val="22"/>
          <w:szCs w:val="22"/>
          <w:lang w:val="en-GB"/>
        </w:rPr>
      </w:pPr>
      <w:bookmarkStart w:id="52" w:name="_Toc103506593"/>
      <w:r>
        <w:rPr>
          <w:rFonts w:ascii="Corbel" w:hAnsi="Corbel" w:cs="Arial"/>
          <w:sz w:val="22"/>
          <w:szCs w:val="22"/>
          <w:lang w:val="en-GB"/>
        </w:rPr>
        <w:t>Enhanced understanding of</w:t>
      </w:r>
      <w:r w:rsidR="006F0B40" w:rsidRPr="00570ACC">
        <w:rPr>
          <w:rFonts w:ascii="Corbel" w:hAnsi="Corbel" w:cs="Arial"/>
          <w:sz w:val="22"/>
          <w:szCs w:val="22"/>
          <w:lang w:val="en-GB"/>
        </w:rPr>
        <w:t xml:space="preserve"> the role of trade in services in deepening economic cooperation</w:t>
      </w:r>
      <w:r w:rsidR="00AB4D22">
        <w:rPr>
          <w:rFonts w:ascii="Corbel" w:hAnsi="Corbel" w:cs="Arial"/>
          <w:sz w:val="22"/>
          <w:szCs w:val="22"/>
          <w:lang w:val="en-GB"/>
        </w:rPr>
        <w:t>.</w:t>
      </w:r>
      <w:bookmarkEnd w:id="52"/>
    </w:p>
    <w:p w14:paraId="1B6C3513" w14:textId="76228F05" w:rsidR="005A1EB6" w:rsidRPr="00570ACC" w:rsidRDefault="005F59C0" w:rsidP="000168EC">
      <w:pPr>
        <w:pStyle w:val="ListParagraph"/>
        <w:numPr>
          <w:ilvl w:val="0"/>
          <w:numId w:val="5"/>
        </w:numPr>
        <w:tabs>
          <w:tab w:val="left" w:pos="7230"/>
        </w:tabs>
        <w:spacing w:line="276" w:lineRule="auto"/>
        <w:ind w:left="567" w:hanging="567"/>
        <w:contextualSpacing w:val="0"/>
        <w:jc w:val="both"/>
        <w:outlineLvl w:val="0"/>
        <w:rPr>
          <w:rFonts w:ascii="Corbel" w:hAnsi="Corbel" w:cs="Arial"/>
          <w:sz w:val="22"/>
          <w:szCs w:val="22"/>
          <w:lang w:val="en-GB"/>
        </w:rPr>
      </w:pPr>
      <w:bookmarkStart w:id="53" w:name="_Toc103506594"/>
      <w:r>
        <w:rPr>
          <w:rFonts w:ascii="Corbel" w:hAnsi="Corbel" w:cs="Arial"/>
          <w:sz w:val="22"/>
          <w:szCs w:val="22"/>
          <w:lang w:val="en-GB"/>
        </w:rPr>
        <w:t>New “unified report” template t</w:t>
      </w:r>
      <w:r w:rsidR="005A1EB6" w:rsidRPr="00570ACC">
        <w:rPr>
          <w:rFonts w:ascii="Corbel" w:hAnsi="Corbel" w:cs="Arial"/>
          <w:sz w:val="22"/>
          <w:szCs w:val="22"/>
          <w:lang w:val="en-GB"/>
        </w:rPr>
        <w:t xml:space="preserve">o document and monitor progress </w:t>
      </w:r>
      <w:r w:rsidR="00BD223D">
        <w:rPr>
          <w:rFonts w:ascii="Corbel" w:hAnsi="Corbel" w:cs="Arial"/>
          <w:sz w:val="22"/>
          <w:szCs w:val="22"/>
          <w:lang w:val="en-GB"/>
        </w:rPr>
        <w:t>in</w:t>
      </w:r>
      <w:r w:rsidR="005A1EB6" w:rsidRPr="00570ACC">
        <w:rPr>
          <w:rFonts w:ascii="Corbel" w:hAnsi="Corbel" w:cs="Arial"/>
          <w:sz w:val="22"/>
          <w:szCs w:val="22"/>
          <w:lang w:val="en-GB"/>
        </w:rPr>
        <w:t xml:space="preserve"> PAFTA</w:t>
      </w:r>
      <w:r w:rsidR="00BD223D">
        <w:rPr>
          <w:rFonts w:ascii="Corbel" w:hAnsi="Corbel" w:cs="Arial"/>
          <w:sz w:val="22"/>
          <w:szCs w:val="22"/>
          <w:lang w:val="en-GB"/>
        </w:rPr>
        <w:t xml:space="preserve"> </w:t>
      </w:r>
      <w:r w:rsidR="005A1EB6" w:rsidRPr="00570ACC">
        <w:rPr>
          <w:rFonts w:ascii="Corbel" w:hAnsi="Corbel" w:cs="Arial"/>
          <w:sz w:val="22"/>
          <w:szCs w:val="22"/>
          <w:lang w:val="en-GB"/>
        </w:rPr>
        <w:t>implementation</w:t>
      </w:r>
      <w:r w:rsidR="00BD223D">
        <w:rPr>
          <w:rFonts w:ascii="Corbel" w:hAnsi="Corbel" w:cs="Arial"/>
          <w:sz w:val="22"/>
          <w:szCs w:val="22"/>
          <w:lang w:val="en-GB"/>
        </w:rPr>
        <w:t>, endorsed by LAS ECOSOC in</w:t>
      </w:r>
      <w:r w:rsidR="00B17BCA">
        <w:rPr>
          <w:rFonts w:ascii="Corbel" w:hAnsi="Corbel" w:cs="Arial"/>
          <w:sz w:val="22"/>
          <w:szCs w:val="22"/>
          <w:lang w:val="en-GB"/>
        </w:rPr>
        <w:t xml:space="preserve"> 2018</w:t>
      </w:r>
      <w:r w:rsidR="005A1EB6" w:rsidRPr="00570ACC">
        <w:rPr>
          <w:rFonts w:ascii="Corbel" w:hAnsi="Corbel" w:cs="Arial"/>
          <w:sz w:val="22"/>
          <w:szCs w:val="22"/>
          <w:lang w:val="en-GB"/>
        </w:rPr>
        <w:t>.</w:t>
      </w:r>
      <w:bookmarkEnd w:id="53"/>
    </w:p>
    <w:p w14:paraId="2469892C" w14:textId="77777777" w:rsidR="00B867E3" w:rsidRDefault="00B867E3" w:rsidP="00E47EA3">
      <w:pPr>
        <w:tabs>
          <w:tab w:val="left" w:pos="7230"/>
        </w:tabs>
        <w:spacing w:line="276" w:lineRule="auto"/>
        <w:jc w:val="both"/>
        <w:outlineLvl w:val="0"/>
        <w:rPr>
          <w:rFonts w:ascii="Corbel" w:hAnsi="Corbel" w:cs="Arial"/>
          <w:sz w:val="22"/>
          <w:szCs w:val="22"/>
          <w:lang w:val="en-GB"/>
        </w:rPr>
      </w:pPr>
    </w:p>
    <w:p w14:paraId="755206B1" w14:textId="20BF111C" w:rsidR="00F05944" w:rsidRPr="00570ACC" w:rsidRDefault="00207790" w:rsidP="00E47EA3">
      <w:pPr>
        <w:tabs>
          <w:tab w:val="left" w:pos="7230"/>
        </w:tabs>
        <w:spacing w:line="276" w:lineRule="auto"/>
        <w:jc w:val="both"/>
        <w:outlineLvl w:val="0"/>
        <w:rPr>
          <w:rFonts w:ascii="Corbel" w:hAnsi="Corbel" w:cs="Arial"/>
          <w:sz w:val="22"/>
          <w:szCs w:val="22"/>
          <w:lang w:val="en-GB"/>
        </w:rPr>
      </w:pPr>
      <w:bookmarkStart w:id="54" w:name="_Toc103506595"/>
      <w:r w:rsidRPr="4F6DD0A6">
        <w:rPr>
          <w:rFonts w:ascii="Corbel" w:hAnsi="Corbel" w:cs="Arial"/>
          <w:sz w:val="22"/>
          <w:szCs w:val="22"/>
          <w:lang w:val="en-GB"/>
        </w:rPr>
        <w:lastRenderedPageBreak/>
        <w:t xml:space="preserve">To achieve those benchmarks, </w:t>
      </w:r>
      <w:r w:rsidR="00F05944" w:rsidRPr="4F6DD0A6">
        <w:rPr>
          <w:rFonts w:ascii="Corbel" w:hAnsi="Corbel" w:cs="Arial"/>
          <w:sz w:val="22"/>
          <w:szCs w:val="22"/>
          <w:lang w:val="en-GB"/>
        </w:rPr>
        <w:t xml:space="preserve">UNDP assisted the senior management of </w:t>
      </w:r>
      <w:r w:rsidR="00765E64" w:rsidRPr="4F6DD0A6">
        <w:rPr>
          <w:rFonts w:ascii="Corbel" w:hAnsi="Corbel" w:cs="Arial"/>
          <w:sz w:val="22"/>
          <w:szCs w:val="22"/>
          <w:lang w:val="en-GB"/>
        </w:rPr>
        <w:t xml:space="preserve">LAS </w:t>
      </w:r>
      <w:r w:rsidR="00F05944" w:rsidRPr="4F6DD0A6">
        <w:rPr>
          <w:rFonts w:ascii="Corbel" w:hAnsi="Corbel" w:cs="Arial"/>
          <w:sz w:val="22"/>
          <w:szCs w:val="22"/>
          <w:lang w:val="en-GB"/>
        </w:rPr>
        <w:t>Economic Sector</w:t>
      </w:r>
      <w:r w:rsidRPr="4F6DD0A6">
        <w:rPr>
          <w:rFonts w:ascii="Corbel" w:hAnsi="Corbel" w:cs="Arial"/>
          <w:sz w:val="22"/>
          <w:szCs w:val="22"/>
          <w:lang w:val="en-GB"/>
        </w:rPr>
        <w:t xml:space="preserve">, as well as </w:t>
      </w:r>
      <w:r w:rsidR="00B17BCA" w:rsidRPr="4F6DD0A6">
        <w:rPr>
          <w:rFonts w:ascii="Corbel" w:hAnsi="Corbel" w:cs="Arial"/>
          <w:sz w:val="22"/>
          <w:szCs w:val="22"/>
          <w:lang w:val="en-GB"/>
        </w:rPr>
        <w:t xml:space="preserve">its </w:t>
      </w:r>
      <w:r w:rsidRPr="4F6DD0A6">
        <w:rPr>
          <w:rFonts w:ascii="Corbel" w:hAnsi="Corbel" w:cs="Arial"/>
          <w:sz w:val="22"/>
          <w:szCs w:val="22"/>
          <w:lang w:val="en-GB"/>
        </w:rPr>
        <w:t>technical committees and working groups,</w:t>
      </w:r>
      <w:r w:rsidR="00F05944" w:rsidRPr="4F6DD0A6">
        <w:rPr>
          <w:rFonts w:ascii="Corbel" w:hAnsi="Corbel" w:cs="Arial"/>
          <w:sz w:val="22"/>
          <w:szCs w:val="22"/>
          <w:lang w:val="en-GB"/>
        </w:rPr>
        <w:t xml:space="preserve"> with technical advice</w:t>
      </w:r>
      <w:r w:rsidR="005D5736" w:rsidRPr="4F6DD0A6">
        <w:rPr>
          <w:rFonts w:ascii="Corbel" w:hAnsi="Corbel" w:cs="Arial"/>
          <w:sz w:val="22"/>
          <w:szCs w:val="22"/>
          <w:lang w:val="en-GB"/>
        </w:rPr>
        <w:t>,</w:t>
      </w:r>
      <w:r w:rsidR="00F05944" w:rsidRPr="4F6DD0A6">
        <w:rPr>
          <w:rFonts w:ascii="Corbel" w:hAnsi="Corbel" w:cs="Arial"/>
          <w:sz w:val="22"/>
          <w:szCs w:val="22"/>
          <w:lang w:val="en-GB"/>
        </w:rPr>
        <w:t xml:space="preserve"> analysis on trade matters like rules of origin, Arab Customs Union, impacts of Covid-19, trade facilitation</w:t>
      </w:r>
      <w:r w:rsidR="00273693" w:rsidRPr="4F6DD0A6">
        <w:rPr>
          <w:rFonts w:ascii="Corbel" w:hAnsi="Corbel" w:cs="Arial"/>
          <w:sz w:val="22"/>
          <w:szCs w:val="22"/>
          <w:lang w:val="en-GB"/>
        </w:rPr>
        <w:t>, etc. The project also contributed to the</w:t>
      </w:r>
      <w:r w:rsidR="00F05944" w:rsidRPr="4F6DD0A6">
        <w:rPr>
          <w:rFonts w:ascii="Corbel" w:hAnsi="Corbel" w:cs="Arial"/>
          <w:sz w:val="22"/>
          <w:szCs w:val="22"/>
          <w:lang w:val="en-GB"/>
        </w:rPr>
        <w:t xml:space="preserve"> review of draft</w:t>
      </w:r>
      <w:r w:rsidR="007F7A46" w:rsidRPr="4F6DD0A6">
        <w:rPr>
          <w:rFonts w:ascii="Corbel" w:hAnsi="Corbel" w:cs="Arial"/>
          <w:sz w:val="22"/>
          <w:szCs w:val="22"/>
          <w:lang w:val="en-GB"/>
        </w:rPr>
        <w:t>ing of</w:t>
      </w:r>
      <w:r w:rsidR="00F05944" w:rsidRPr="4F6DD0A6">
        <w:rPr>
          <w:rFonts w:ascii="Corbel" w:hAnsi="Corbel" w:cs="Arial"/>
          <w:sz w:val="22"/>
          <w:szCs w:val="22"/>
          <w:lang w:val="en-GB"/>
        </w:rPr>
        <w:t xml:space="preserve"> legal instruments in </w:t>
      </w:r>
      <w:r w:rsidR="005D5736" w:rsidRPr="4F6DD0A6">
        <w:rPr>
          <w:rFonts w:ascii="Corbel" w:hAnsi="Corbel" w:cs="Arial"/>
          <w:sz w:val="22"/>
          <w:szCs w:val="22"/>
          <w:lang w:val="en-GB"/>
        </w:rPr>
        <w:t xml:space="preserve">measures </w:t>
      </w:r>
      <w:r w:rsidR="0070195C" w:rsidRPr="4F6DD0A6">
        <w:rPr>
          <w:rFonts w:ascii="Corbel" w:hAnsi="Corbel" w:cs="Arial"/>
          <w:sz w:val="22"/>
          <w:szCs w:val="22"/>
          <w:lang w:val="en-GB"/>
        </w:rPr>
        <w:t xml:space="preserve">related to sanitary and </w:t>
      </w:r>
      <w:r w:rsidR="00FE2645" w:rsidRPr="4F6DD0A6">
        <w:rPr>
          <w:rFonts w:ascii="Corbel" w:hAnsi="Corbel" w:cs="Arial"/>
          <w:sz w:val="22"/>
          <w:szCs w:val="22"/>
          <w:lang w:val="en-GB"/>
        </w:rPr>
        <w:t>Phyto</w:t>
      </w:r>
      <w:r w:rsidR="00FB104D" w:rsidRPr="4F6DD0A6">
        <w:rPr>
          <w:rFonts w:ascii="Corbel" w:hAnsi="Corbel" w:cs="Arial"/>
          <w:sz w:val="22"/>
          <w:szCs w:val="22"/>
          <w:lang w:val="en-GB"/>
        </w:rPr>
        <w:t>-sanitary (</w:t>
      </w:r>
      <w:r w:rsidR="00F05944" w:rsidRPr="4F6DD0A6">
        <w:rPr>
          <w:rFonts w:ascii="Corbel" w:hAnsi="Corbel" w:cs="Arial"/>
          <w:sz w:val="22"/>
          <w:szCs w:val="22"/>
          <w:lang w:val="en-GB"/>
        </w:rPr>
        <w:t>SPSs</w:t>
      </w:r>
      <w:r w:rsidR="00FB104D" w:rsidRPr="4F6DD0A6">
        <w:rPr>
          <w:rFonts w:ascii="Corbel" w:hAnsi="Corbel" w:cs="Arial"/>
          <w:sz w:val="22"/>
          <w:szCs w:val="22"/>
          <w:lang w:val="en-GB"/>
        </w:rPr>
        <w:t>) controls</w:t>
      </w:r>
      <w:r w:rsidR="00F05944" w:rsidRPr="4F6DD0A6">
        <w:rPr>
          <w:rFonts w:ascii="Corbel" w:hAnsi="Corbel" w:cs="Arial"/>
          <w:sz w:val="22"/>
          <w:szCs w:val="22"/>
          <w:lang w:val="en-GB"/>
        </w:rPr>
        <w:t xml:space="preserve"> and </w:t>
      </w:r>
      <w:r w:rsidR="00FB104D" w:rsidRPr="4F6DD0A6">
        <w:rPr>
          <w:rFonts w:ascii="Corbel" w:hAnsi="Corbel" w:cs="Arial"/>
          <w:sz w:val="22"/>
          <w:szCs w:val="22"/>
          <w:lang w:val="en-GB"/>
        </w:rPr>
        <w:t>technical barriers to trade (</w:t>
      </w:r>
      <w:r w:rsidR="00F05944" w:rsidRPr="4F6DD0A6">
        <w:rPr>
          <w:rFonts w:ascii="Corbel" w:hAnsi="Corbel" w:cs="Arial"/>
          <w:sz w:val="22"/>
          <w:szCs w:val="22"/>
          <w:lang w:val="en-GB"/>
        </w:rPr>
        <w:t>TBTs</w:t>
      </w:r>
      <w:r w:rsidR="00FB104D" w:rsidRPr="4F6DD0A6">
        <w:rPr>
          <w:rFonts w:ascii="Corbel" w:hAnsi="Corbel" w:cs="Arial"/>
          <w:sz w:val="22"/>
          <w:szCs w:val="22"/>
          <w:lang w:val="en-GB"/>
        </w:rPr>
        <w:t>)</w:t>
      </w:r>
      <w:r w:rsidR="00677ACC" w:rsidRPr="4F6DD0A6">
        <w:rPr>
          <w:rFonts w:ascii="Corbel" w:hAnsi="Corbel" w:cs="Arial"/>
          <w:sz w:val="22"/>
          <w:szCs w:val="22"/>
          <w:lang w:val="en-GB"/>
        </w:rPr>
        <w:t>,</w:t>
      </w:r>
      <w:r w:rsidR="00F05944" w:rsidRPr="4F6DD0A6">
        <w:rPr>
          <w:rFonts w:ascii="Corbel" w:hAnsi="Corbel" w:cs="Arial"/>
          <w:sz w:val="22"/>
          <w:szCs w:val="22"/>
          <w:lang w:val="en-GB"/>
        </w:rPr>
        <w:t xml:space="preserve"> </w:t>
      </w:r>
      <w:r w:rsidR="00677ACC" w:rsidRPr="4F6DD0A6">
        <w:rPr>
          <w:rFonts w:ascii="Corbel" w:hAnsi="Corbel" w:cs="Arial"/>
          <w:sz w:val="22"/>
          <w:szCs w:val="22"/>
          <w:lang w:val="en-GB"/>
        </w:rPr>
        <w:t>c</w:t>
      </w:r>
      <w:r w:rsidR="00F05944" w:rsidRPr="4F6DD0A6">
        <w:rPr>
          <w:rFonts w:ascii="Corbel" w:hAnsi="Corbel" w:cs="Arial"/>
          <w:sz w:val="22"/>
          <w:szCs w:val="22"/>
          <w:lang w:val="en-GB"/>
        </w:rPr>
        <w:t>ustoms procedures</w:t>
      </w:r>
      <w:r w:rsidR="00FB104D" w:rsidRPr="4F6DD0A6">
        <w:rPr>
          <w:rFonts w:ascii="Corbel" w:hAnsi="Corbel" w:cs="Arial"/>
          <w:sz w:val="22"/>
          <w:szCs w:val="22"/>
          <w:lang w:val="en-GB"/>
        </w:rPr>
        <w:t>,</w:t>
      </w:r>
      <w:r w:rsidR="00F05944" w:rsidRPr="4F6DD0A6">
        <w:rPr>
          <w:rFonts w:ascii="Corbel" w:hAnsi="Corbel" w:cs="Arial"/>
          <w:sz w:val="22"/>
          <w:szCs w:val="22"/>
          <w:lang w:val="en-GB"/>
        </w:rPr>
        <w:t xml:space="preserve"> and modernization of trade techniques</w:t>
      </w:r>
      <w:r w:rsidR="00721178" w:rsidRPr="4F6DD0A6">
        <w:rPr>
          <w:rFonts w:ascii="Corbel" w:hAnsi="Corbel" w:cs="Arial"/>
          <w:sz w:val="22"/>
          <w:szCs w:val="22"/>
          <w:lang w:val="en-GB"/>
        </w:rPr>
        <w:t xml:space="preserve"> like electronic processing of trade information.</w:t>
      </w:r>
      <w:bookmarkEnd w:id="54"/>
    </w:p>
    <w:p w14:paraId="5C71BA6F" w14:textId="30CD88B7" w:rsidR="00B87A49" w:rsidRPr="00CF6835" w:rsidRDefault="00FF1DAD" w:rsidP="00CF6835">
      <w:pPr>
        <w:spacing w:before="120" w:after="120" w:line="300" w:lineRule="exact"/>
        <w:jc w:val="both"/>
        <w:outlineLvl w:val="0"/>
        <w:rPr>
          <w:rFonts w:ascii="Corbel" w:hAnsi="Corbel" w:cs="Arial"/>
          <w:sz w:val="22"/>
          <w:szCs w:val="22"/>
          <w:lang w:val="en-GB"/>
        </w:rPr>
      </w:pPr>
      <w:bookmarkStart w:id="55" w:name="_Toc103506596"/>
      <w:r w:rsidRPr="4F6DD0A6">
        <w:rPr>
          <w:rFonts w:ascii="Corbel" w:hAnsi="Corbel" w:cs="Arial"/>
          <w:sz w:val="21"/>
          <w:szCs w:val="21"/>
          <w:lang w:val="en-GB"/>
        </w:rPr>
        <w:t>The assistance provided allowed to develop the capacities of</w:t>
      </w:r>
      <w:r w:rsidR="00F82BBB" w:rsidRPr="4F6DD0A6">
        <w:rPr>
          <w:rFonts w:ascii="Corbel" w:hAnsi="Corbel" w:cs="Arial"/>
          <w:sz w:val="21"/>
          <w:szCs w:val="21"/>
          <w:lang w:val="en-GB"/>
        </w:rPr>
        <w:t xml:space="preserve"> LAS </w:t>
      </w:r>
      <w:r w:rsidR="00E362A3" w:rsidRPr="4F6DD0A6">
        <w:rPr>
          <w:rFonts w:ascii="Corbel" w:hAnsi="Corbel" w:cs="Arial"/>
          <w:sz w:val="21"/>
          <w:szCs w:val="21"/>
          <w:lang w:val="en-GB"/>
        </w:rPr>
        <w:t xml:space="preserve">technical </w:t>
      </w:r>
      <w:r w:rsidR="00F82BBB" w:rsidRPr="4F6DD0A6">
        <w:rPr>
          <w:rFonts w:ascii="Corbel" w:hAnsi="Corbel" w:cs="Arial"/>
          <w:sz w:val="21"/>
          <w:szCs w:val="21"/>
          <w:lang w:val="en-GB"/>
        </w:rPr>
        <w:t xml:space="preserve">staff </w:t>
      </w:r>
      <w:r w:rsidR="00575F71" w:rsidRPr="4F6DD0A6">
        <w:rPr>
          <w:rFonts w:ascii="Corbel" w:hAnsi="Corbel" w:cs="Arial"/>
          <w:sz w:val="21"/>
          <w:szCs w:val="21"/>
          <w:lang w:val="en-GB"/>
        </w:rPr>
        <w:t>to provide</w:t>
      </w:r>
      <w:r w:rsidR="00F82BBB" w:rsidRPr="4F6DD0A6">
        <w:rPr>
          <w:rFonts w:ascii="Corbel" w:hAnsi="Corbel" w:cs="Arial"/>
          <w:sz w:val="21"/>
          <w:szCs w:val="21"/>
          <w:lang w:val="en-GB"/>
        </w:rPr>
        <w:t xml:space="preserve"> effective </w:t>
      </w:r>
      <w:r w:rsidR="00575F71" w:rsidRPr="4F6DD0A6">
        <w:rPr>
          <w:rFonts w:ascii="Corbel" w:hAnsi="Corbel" w:cs="Arial"/>
          <w:sz w:val="21"/>
          <w:szCs w:val="21"/>
          <w:lang w:val="en-GB"/>
        </w:rPr>
        <w:t>support to</w:t>
      </w:r>
      <w:r w:rsidR="00F82BBB" w:rsidRPr="4F6DD0A6">
        <w:rPr>
          <w:rFonts w:ascii="Corbel" w:hAnsi="Corbel" w:cs="Arial"/>
          <w:sz w:val="21"/>
          <w:szCs w:val="21"/>
          <w:lang w:val="en-GB"/>
        </w:rPr>
        <w:t xml:space="preserve"> Arab countries </w:t>
      </w:r>
      <w:r w:rsidR="00575F71" w:rsidRPr="4F6DD0A6">
        <w:rPr>
          <w:rFonts w:ascii="Corbel" w:hAnsi="Corbel" w:cs="Arial"/>
          <w:sz w:val="21"/>
          <w:szCs w:val="21"/>
          <w:lang w:val="en-GB"/>
        </w:rPr>
        <w:t>in</w:t>
      </w:r>
      <w:r w:rsidR="00F82BBB" w:rsidRPr="4F6DD0A6">
        <w:rPr>
          <w:rFonts w:ascii="Corbel" w:hAnsi="Corbel" w:cs="Arial"/>
          <w:sz w:val="21"/>
          <w:szCs w:val="21"/>
          <w:lang w:val="en-GB"/>
        </w:rPr>
        <w:t xml:space="preserve"> prepar</w:t>
      </w:r>
      <w:r w:rsidR="00575F71" w:rsidRPr="4F6DD0A6">
        <w:rPr>
          <w:rFonts w:ascii="Corbel" w:hAnsi="Corbel" w:cs="Arial"/>
          <w:sz w:val="21"/>
          <w:szCs w:val="21"/>
          <w:lang w:val="en-GB"/>
        </w:rPr>
        <w:t>ing trade-related</w:t>
      </w:r>
      <w:r w:rsidR="00F82BBB" w:rsidRPr="4F6DD0A6">
        <w:rPr>
          <w:rFonts w:ascii="Corbel" w:hAnsi="Corbel" w:cs="Arial"/>
          <w:sz w:val="21"/>
          <w:szCs w:val="21"/>
          <w:lang w:val="en-GB"/>
        </w:rPr>
        <w:t xml:space="preserve"> technical documents</w:t>
      </w:r>
      <w:r w:rsidR="003B177B" w:rsidRPr="4F6DD0A6">
        <w:rPr>
          <w:rFonts w:ascii="Corbel" w:hAnsi="Corbel" w:cs="Arial"/>
          <w:sz w:val="21"/>
          <w:szCs w:val="21"/>
          <w:lang w:val="en-GB"/>
        </w:rPr>
        <w:t>,</w:t>
      </w:r>
      <w:r w:rsidR="00F82BBB" w:rsidRPr="4F6DD0A6">
        <w:rPr>
          <w:rFonts w:ascii="Corbel" w:hAnsi="Corbel" w:cs="Arial"/>
          <w:sz w:val="21"/>
          <w:szCs w:val="21"/>
          <w:lang w:val="en-GB"/>
        </w:rPr>
        <w:t xml:space="preserve"> as well as regional seminars or conferences on economic and trade matters.</w:t>
      </w:r>
      <w:bookmarkEnd w:id="55"/>
      <w:r w:rsidR="00F82BBB" w:rsidRPr="4F6DD0A6">
        <w:rPr>
          <w:rFonts w:ascii="Corbel" w:hAnsi="Corbel" w:cs="Arial"/>
          <w:sz w:val="21"/>
          <w:szCs w:val="21"/>
          <w:lang w:val="en-GB"/>
        </w:rPr>
        <w:t xml:space="preserve"> </w:t>
      </w:r>
    </w:p>
    <w:tbl>
      <w:tblPr>
        <w:tblpPr w:leftFromText="180" w:rightFromText="180" w:vertAnchor="text" w:tblpXSpec="right" w:tblpY="1"/>
        <w:tblOverlap w:val="never"/>
        <w:tblW w:w="10483" w:type="dxa"/>
        <w:tblLayout w:type="fixed"/>
        <w:tblLook w:val="04A0" w:firstRow="1" w:lastRow="0" w:firstColumn="1" w:lastColumn="0" w:noHBand="0" w:noVBand="1"/>
      </w:tblPr>
      <w:tblGrid>
        <w:gridCol w:w="1413"/>
        <w:gridCol w:w="1559"/>
        <w:gridCol w:w="1559"/>
        <w:gridCol w:w="1133"/>
        <w:gridCol w:w="1843"/>
        <w:gridCol w:w="851"/>
        <w:gridCol w:w="2125"/>
      </w:tblGrid>
      <w:tr w:rsidR="00B87A49" w:rsidRPr="00570ACC" w14:paraId="0146F12A" w14:textId="77777777" w:rsidTr="00A1103E">
        <w:trPr>
          <w:trHeight w:val="440"/>
        </w:trPr>
        <w:tc>
          <w:tcPr>
            <w:tcW w:w="1413" w:type="dxa"/>
            <w:tcBorders>
              <w:top w:val="single" w:sz="4" w:space="0" w:color="auto"/>
              <w:left w:val="single" w:sz="4" w:space="0" w:color="auto"/>
              <w:bottom w:val="nil"/>
              <w:right w:val="single" w:sz="4" w:space="0" w:color="auto"/>
            </w:tcBorders>
            <w:shd w:val="clear" w:color="000000" w:fill="D8E4BC"/>
            <w:vAlign w:val="center"/>
            <w:hideMark/>
          </w:tcPr>
          <w:p w14:paraId="120A10CA" w14:textId="77777777" w:rsidR="00B87A49" w:rsidRPr="00570ACC" w:rsidRDefault="00B87A49" w:rsidP="00252A8C">
            <w:pPr>
              <w:rPr>
                <w:rFonts w:ascii="Corbel" w:eastAsia="Times New Roman" w:hAnsi="Corbel"/>
                <w:b/>
                <w:bCs/>
                <w:color w:val="000000"/>
                <w:sz w:val="19"/>
                <w:szCs w:val="19"/>
                <w:lang w:val="en-GB" w:eastAsia="en-GB"/>
              </w:rPr>
            </w:pPr>
            <w:r w:rsidRPr="00570ACC">
              <w:rPr>
                <w:rFonts w:ascii="Corbel" w:eastAsia="Times New Roman" w:hAnsi="Corbel"/>
                <w:b/>
                <w:bCs/>
                <w:color w:val="000000"/>
                <w:sz w:val="19"/>
                <w:szCs w:val="19"/>
                <w:lang w:val="en-GB" w:eastAsia="en-GB"/>
              </w:rPr>
              <w:t>Project Outcome</w:t>
            </w:r>
          </w:p>
        </w:tc>
        <w:tc>
          <w:tcPr>
            <w:tcW w:w="1559" w:type="dxa"/>
            <w:tcBorders>
              <w:top w:val="single" w:sz="4" w:space="0" w:color="auto"/>
              <w:left w:val="nil"/>
              <w:bottom w:val="nil"/>
              <w:right w:val="single" w:sz="4" w:space="0" w:color="auto"/>
            </w:tcBorders>
            <w:shd w:val="clear" w:color="000000" w:fill="D8E4BC"/>
            <w:vAlign w:val="center"/>
            <w:hideMark/>
          </w:tcPr>
          <w:p w14:paraId="2732CE68" w14:textId="77777777" w:rsidR="00B87A49" w:rsidRPr="00570ACC" w:rsidRDefault="00B87A49" w:rsidP="00252A8C">
            <w:pPr>
              <w:rPr>
                <w:rFonts w:ascii="Corbel" w:eastAsia="Times New Roman" w:hAnsi="Corbel"/>
                <w:b/>
                <w:bCs/>
                <w:color w:val="000000"/>
                <w:sz w:val="19"/>
                <w:szCs w:val="19"/>
                <w:lang w:val="en-GB" w:eastAsia="en-GB"/>
              </w:rPr>
            </w:pPr>
            <w:r w:rsidRPr="00570ACC">
              <w:rPr>
                <w:rFonts w:ascii="Corbel" w:eastAsia="Times New Roman" w:hAnsi="Corbel"/>
                <w:b/>
                <w:bCs/>
                <w:color w:val="000000"/>
                <w:sz w:val="19"/>
                <w:szCs w:val="19"/>
                <w:lang w:val="en-GB" w:eastAsia="en-GB"/>
              </w:rPr>
              <w:t>Project Outcome indicators</w:t>
            </w:r>
          </w:p>
        </w:tc>
        <w:tc>
          <w:tcPr>
            <w:tcW w:w="1559" w:type="dxa"/>
            <w:tcBorders>
              <w:top w:val="single" w:sz="4" w:space="0" w:color="auto"/>
              <w:left w:val="nil"/>
              <w:bottom w:val="nil"/>
              <w:right w:val="single" w:sz="4" w:space="0" w:color="auto"/>
            </w:tcBorders>
            <w:shd w:val="clear" w:color="000000" w:fill="D8E4BC"/>
            <w:vAlign w:val="center"/>
            <w:hideMark/>
          </w:tcPr>
          <w:p w14:paraId="63252806" w14:textId="77777777" w:rsidR="00B87A49" w:rsidRPr="00570ACC" w:rsidRDefault="00B87A49" w:rsidP="00252A8C">
            <w:pPr>
              <w:rPr>
                <w:rFonts w:ascii="Corbel" w:eastAsia="Times New Roman" w:hAnsi="Corbel"/>
                <w:b/>
                <w:bCs/>
                <w:color w:val="000000"/>
                <w:sz w:val="19"/>
                <w:szCs w:val="19"/>
                <w:lang w:val="en-GB" w:eastAsia="en-GB"/>
              </w:rPr>
            </w:pPr>
            <w:r w:rsidRPr="00570ACC">
              <w:rPr>
                <w:rFonts w:ascii="Corbel" w:eastAsia="Times New Roman" w:hAnsi="Corbel"/>
                <w:b/>
                <w:bCs/>
                <w:color w:val="000000"/>
                <w:sz w:val="19"/>
                <w:szCs w:val="19"/>
                <w:lang w:val="en-GB" w:eastAsia="en-GB"/>
              </w:rPr>
              <w:t>Baseline</w:t>
            </w:r>
          </w:p>
        </w:tc>
        <w:tc>
          <w:tcPr>
            <w:tcW w:w="1133" w:type="dxa"/>
            <w:tcBorders>
              <w:top w:val="single" w:sz="4" w:space="0" w:color="auto"/>
              <w:left w:val="nil"/>
              <w:bottom w:val="nil"/>
              <w:right w:val="single" w:sz="4" w:space="0" w:color="auto"/>
            </w:tcBorders>
            <w:shd w:val="clear" w:color="000000" w:fill="D8E4BC"/>
            <w:vAlign w:val="center"/>
            <w:hideMark/>
          </w:tcPr>
          <w:p w14:paraId="237D4985" w14:textId="0C1F6088" w:rsidR="00B87A49" w:rsidRPr="00570ACC" w:rsidRDefault="00B87A49" w:rsidP="00252A8C">
            <w:pPr>
              <w:rPr>
                <w:rFonts w:ascii="Corbel" w:eastAsia="Times New Roman" w:hAnsi="Corbel"/>
                <w:b/>
                <w:bCs/>
                <w:color w:val="000000"/>
                <w:sz w:val="19"/>
                <w:szCs w:val="19"/>
                <w:lang w:val="en-GB" w:eastAsia="en-GB"/>
              </w:rPr>
            </w:pPr>
            <w:r w:rsidRPr="00570ACC">
              <w:rPr>
                <w:rFonts w:ascii="Corbel" w:eastAsia="Times New Roman" w:hAnsi="Corbel"/>
                <w:b/>
                <w:bCs/>
                <w:color w:val="000000"/>
                <w:sz w:val="19"/>
                <w:szCs w:val="19"/>
                <w:lang w:val="en-GB" w:eastAsia="en-GB"/>
              </w:rPr>
              <w:t>Target (20</w:t>
            </w:r>
            <w:r w:rsidR="00C2244C">
              <w:rPr>
                <w:rFonts w:ascii="Corbel" w:eastAsia="Times New Roman" w:hAnsi="Corbel"/>
                <w:b/>
                <w:bCs/>
                <w:color w:val="000000"/>
                <w:sz w:val="19"/>
                <w:szCs w:val="19"/>
                <w:lang w:val="en-GB" w:eastAsia="en-GB"/>
              </w:rPr>
              <w:t>20</w:t>
            </w:r>
            <w:r w:rsidRPr="00570ACC">
              <w:rPr>
                <w:rFonts w:ascii="Corbel" w:eastAsia="Times New Roman" w:hAnsi="Corbel"/>
                <w:b/>
                <w:bCs/>
                <w:color w:val="000000"/>
                <w:sz w:val="19"/>
                <w:szCs w:val="19"/>
                <w:lang w:val="en-GB" w:eastAsia="en-GB"/>
              </w:rPr>
              <w:t>)</w:t>
            </w:r>
          </w:p>
        </w:tc>
        <w:tc>
          <w:tcPr>
            <w:tcW w:w="1843" w:type="dxa"/>
            <w:tcBorders>
              <w:top w:val="single" w:sz="4" w:space="0" w:color="auto"/>
              <w:left w:val="nil"/>
              <w:bottom w:val="nil"/>
              <w:right w:val="single" w:sz="4" w:space="0" w:color="auto"/>
            </w:tcBorders>
            <w:shd w:val="clear" w:color="000000" w:fill="D8E4BC"/>
            <w:vAlign w:val="center"/>
            <w:hideMark/>
          </w:tcPr>
          <w:p w14:paraId="187A36E8" w14:textId="5E119554" w:rsidR="00B87A49" w:rsidRPr="00570ACC" w:rsidRDefault="00B87A49" w:rsidP="00252A8C">
            <w:pPr>
              <w:rPr>
                <w:rFonts w:ascii="Corbel" w:eastAsia="Times New Roman" w:hAnsi="Corbel"/>
                <w:b/>
                <w:bCs/>
                <w:color w:val="000000"/>
                <w:sz w:val="19"/>
                <w:szCs w:val="19"/>
                <w:lang w:val="en-GB" w:eastAsia="en-GB"/>
              </w:rPr>
            </w:pPr>
            <w:r w:rsidRPr="00570ACC">
              <w:rPr>
                <w:rFonts w:ascii="Corbel" w:eastAsia="Times New Roman" w:hAnsi="Corbel"/>
                <w:b/>
                <w:bCs/>
                <w:color w:val="000000"/>
                <w:sz w:val="19"/>
                <w:szCs w:val="19"/>
                <w:lang w:val="en-GB" w:eastAsia="en-GB"/>
              </w:rPr>
              <w:t>Actual (20</w:t>
            </w:r>
            <w:r w:rsidR="00C2244C">
              <w:rPr>
                <w:rFonts w:ascii="Corbel" w:eastAsia="Times New Roman" w:hAnsi="Corbel"/>
                <w:b/>
                <w:bCs/>
                <w:color w:val="000000"/>
                <w:sz w:val="19"/>
                <w:szCs w:val="19"/>
                <w:lang w:val="en-GB" w:eastAsia="en-GB"/>
              </w:rPr>
              <w:t>20</w:t>
            </w:r>
            <w:r w:rsidRPr="00570ACC">
              <w:rPr>
                <w:rFonts w:ascii="Corbel" w:eastAsia="Times New Roman" w:hAnsi="Corbel"/>
                <w:b/>
                <w:bCs/>
                <w:color w:val="000000"/>
                <w:sz w:val="19"/>
                <w:szCs w:val="19"/>
                <w:lang w:val="en-GB" w:eastAsia="en-GB"/>
              </w:rPr>
              <w:t>)</w:t>
            </w:r>
          </w:p>
        </w:tc>
        <w:tc>
          <w:tcPr>
            <w:tcW w:w="851" w:type="dxa"/>
            <w:tcBorders>
              <w:top w:val="single" w:sz="4" w:space="0" w:color="auto"/>
              <w:left w:val="nil"/>
              <w:bottom w:val="nil"/>
              <w:right w:val="single" w:sz="4" w:space="0" w:color="auto"/>
            </w:tcBorders>
            <w:shd w:val="clear" w:color="000000" w:fill="D8E4BC"/>
            <w:vAlign w:val="center"/>
            <w:hideMark/>
          </w:tcPr>
          <w:p w14:paraId="23990F9D" w14:textId="1CDF3A45" w:rsidR="00B87A49" w:rsidRPr="00570ACC" w:rsidRDefault="00B87A49" w:rsidP="00252A8C">
            <w:pPr>
              <w:rPr>
                <w:rFonts w:ascii="Corbel" w:eastAsia="Times New Roman" w:hAnsi="Corbel"/>
                <w:b/>
                <w:bCs/>
                <w:color w:val="000000"/>
                <w:sz w:val="19"/>
                <w:szCs w:val="19"/>
                <w:lang w:val="en-GB" w:eastAsia="en-GB"/>
              </w:rPr>
            </w:pPr>
            <w:r w:rsidRPr="00570ACC">
              <w:rPr>
                <w:rFonts w:ascii="Corbel" w:eastAsia="Times New Roman" w:hAnsi="Corbel"/>
                <w:b/>
                <w:bCs/>
                <w:color w:val="000000"/>
                <w:sz w:val="19"/>
                <w:szCs w:val="19"/>
                <w:lang w:val="en-GB" w:eastAsia="en-GB"/>
              </w:rPr>
              <w:t>Target (202</w:t>
            </w:r>
            <w:r w:rsidR="00636FA5">
              <w:rPr>
                <w:rFonts w:ascii="Corbel" w:eastAsia="Times New Roman" w:hAnsi="Corbel"/>
                <w:b/>
                <w:bCs/>
                <w:color w:val="000000"/>
                <w:sz w:val="19"/>
                <w:szCs w:val="19"/>
                <w:lang w:val="en-GB" w:eastAsia="en-GB"/>
              </w:rPr>
              <w:t>2</w:t>
            </w:r>
            <w:r w:rsidRPr="00570ACC">
              <w:rPr>
                <w:rFonts w:ascii="Corbel" w:eastAsia="Times New Roman" w:hAnsi="Corbel"/>
                <w:b/>
                <w:bCs/>
                <w:color w:val="000000"/>
                <w:sz w:val="19"/>
                <w:szCs w:val="19"/>
                <w:lang w:val="en-GB" w:eastAsia="en-GB"/>
              </w:rPr>
              <w:t>)</w:t>
            </w:r>
          </w:p>
        </w:tc>
        <w:tc>
          <w:tcPr>
            <w:tcW w:w="2125" w:type="dxa"/>
            <w:tcBorders>
              <w:top w:val="single" w:sz="4" w:space="0" w:color="auto"/>
              <w:left w:val="nil"/>
              <w:bottom w:val="nil"/>
              <w:right w:val="single" w:sz="4" w:space="0" w:color="auto"/>
            </w:tcBorders>
            <w:shd w:val="clear" w:color="000000" w:fill="D8E4BC"/>
            <w:vAlign w:val="center"/>
            <w:hideMark/>
          </w:tcPr>
          <w:p w14:paraId="41F8CFC1" w14:textId="4CF01B8C" w:rsidR="00B87A49" w:rsidRPr="00570ACC" w:rsidRDefault="00B87A49" w:rsidP="00252A8C">
            <w:pPr>
              <w:rPr>
                <w:rFonts w:ascii="Corbel" w:eastAsia="Times New Roman" w:hAnsi="Corbel"/>
                <w:b/>
                <w:bCs/>
                <w:color w:val="000000"/>
                <w:sz w:val="19"/>
                <w:szCs w:val="19"/>
                <w:lang w:val="en-GB" w:eastAsia="en-GB"/>
              </w:rPr>
            </w:pPr>
            <w:r w:rsidRPr="00570ACC">
              <w:rPr>
                <w:rFonts w:ascii="Corbel" w:eastAsia="Times New Roman" w:hAnsi="Corbel"/>
                <w:b/>
                <w:bCs/>
                <w:color w:val="000000"/>
                <w:sz w:val="19"/>
                <w:szCs w:val="19"/>
                <w:lang w:val="en-GB" w:eastAsia="en-GB"/>
              </w:rPr>
              <w:t>Actual (202</w:t>
            </w:r>
            <w:r w:rsidR="00387456">
              <w:rPr>
                <w:rFonts w:ascii="Corbel" w:eastAsia="Times New Roman" w:hAnsi="Corbel"/>
                <w:b/>
                <w:bCs/>
                <w:color w:val="000000"/>
                <w:sz w:val="19"/>
                <w:szCs w:val="19"/>
                <w:lang w:val="en-GB" w:eastAsia="en-GB"/>
              </w:rPr>
              <w:t>2</w:t>
            </w:r>
            <w:r w:rsidRPr="00570ACC">
              <w:rPr>
                <w:rFonts w:ascii="Corbel" w:eastAsia="Times New Roman" w:hAnsi="Corbel"/>
                <w:b/>
                <w:bCs/>
                <w:color w:val="000000"/>
                <w:sz w:val="19"/>
                <w:szCs w:val="19"/>
                <w:lang w:val="en-GB" w:eastAsia="en-GB"/>
              </w:rPr>
              <w:t>)</w:t>
            </w:r>
          </w:p>
        </w:tc>
      </w:tr>
      <w:tr w:rsidR="00B87A49" w:rsidRPr="00570ACC" w14:paraId="506382CA" w14:textId="77777777" w:rsidTr="00A1103E">
        <w:trPr>
          <w:trHeight w:val="1260"/>
        </w:trPr>
        <w:tc>
          <w:tcPr>
            <w:tcW w:w="1413" w:type="dxa"/>
            <w:vMerge w:val="restart"/>
            <w:tcBorders>
              <w:top w:val="single" w:sz="4" w:space="0" w:color="auto"/>
              <w:left w:val="single" w:sz="4" w:space="0" w:color="auto"/>
              <w:bottom w:val="nil"/>
              <w:right w:val="single" w:sz="4" w:space="0" w:color="auto"/>
            </w:tcBorders>
            <w:shd w:val="clear" w:color="000000" w:fill="EBF1DE"/>
            <w:vAlign w:val="center"/>
            <w:hideMark/>
          </w:tcPr>
          <w:p w14:paraId="199E87C4" w14:textId="77777777" w:rsidR="00B87A49" w:rsidRPr="00570ACC" w:rsidRDefault="00B87A49" w:rsidP="00252A8C">
            <w:pPr>
              <w:rPr>
                <w:rFonts w:ascii="Corbel" w:eastAsia="Times New Roman" w:hAnsi="Corbel"/>
                <w:sz w:val="19"/>
                <w:szCs w:val="19"/>
                <w:lang w:val="en-GB" w:eastAsia="en-GB"/>
              </w:rPr>
            </w:pPr>
            <w:r w:rsidRPr="00570ACC">
              <w:rPr>
                <w:rFonts w:ascii="Corbel" w:eastAsia="Times New Roman" w:hAnsi="Corbel"/>
                <w:b/>
                <w:bCs/>
                <w:sz w:val="19"/>
                <w:szCs w:val="19"/>
                <w:lang w:val="en-GB" w:eastAsia="en-GB"/>
              </w:rPr>
              <w:t>1.</w:t>
            </w:r>
            <w:r w:rsidRPr="00570ACC">
              <w:rPr>
                <w:rFonts w:ascii="Corbel" w:eastAsia="Times New Roman" w:hAnsi="Corbel"/>
                <w:sz w:val="19"/>
                <w:szCs w:val="19"/>
                <w:lang w:val="en-GB" w:eastAsia="en-GB"/>
              </w:rPr>
              <w:t xml:space="preserve"> LAS capacity strengthened to manage processes of regional economic integration. </w:t>
            </w:r>
          </w:p>
        </w:tc>
        <w:tc>
          <w:tcPr>
            <w:tcW w:w="1559" w:type="dxa"/>
            <w:tcBorders>
              <w:top w:val="single" w:sz="4" w:space="0" w:color="auto"/>
              <w:left w:val="nil"/>
              <w:bottom w:val="single" w:sz="4" w:space="0" w:color="auto"/>
              <w:right w:val="single" w:sz="4" w:space="0" w:color="auto"/>
            </w:tcBorders>
            <w:shd w:val="clear" w:color="000000" w:fill="EBF1DE"/>
            <w:vAlign w:val="center"/>
            <w:hideMark/>
          </w:tcPr>
          <w:p w14:paraId="71CB23D2" w14:textId="77777777" w:rsidR="00B87A49" w:rsidRPr="00570ACC" w:rsidRDefault="00B87A49" w:rsidP="00252A8C">
            <w:pPr>
              <w:rPr>
                <w:rFonts w:ascii="Corbel" w:eastAsia="Times New Roman" w:hAnsi="Corbel" w:cs="Arial"/>
                <w:b/>
                <w:bCs/>
                <w:color w:val="000000"/>
                <w:sz w:val="19"/>
                <w:szCs w:val="19"/>
                <w:lang w:val="en-GB" w:eastAsia="en-GB"/>
              </w:rPr>
            </w:pPr>
            <w:r w:rsidRPr="00570ACC">
              <w:rPr>
                <w:rFonts w:ascii="Corbel" w:eastAsia="Times New Roman" w:hAnsi="Corbel" w:cs="Arial"/>
                <w:b/>
                <w:bCs/>
                <w:color w:val="000000"/>
                <w:sz w:val="19"/>
                <w:szCs w:val="19"/>
                <w:lang w:val="en-GB" w:eastAsia="en-GB"/>
              </w:rPr>
              <w:t xml:space="preserve">Indicator 1.1: </w:t>
            </w:r>
            <w:r w:rsidRPr="00570ACC">
              <w:rPr>
                <w:rFonts w:ascii="Corbel" w:eastAsia="Times New Roman" w:hAnsi="Corbel" w:cs="Arial"/>
                <w:color w:val="000000"/>
                <w:sz w:val="19"/>
                <w:szCs w:val="19"/>
                <w:lang w:val="en-GB" w:eastAsia="en-GB"/>
              </w:rPr>
              <w:t xml:space="preserve">Level of capacity of League of Arab States (LAS) Secretariat and Arab negotiators on trade policy formulation and reform under PAFTA </w:t>
            </w:r>
            <w:r w:rsidRPr="00570ACC">
              <w:rPr>
                <w:rFonts w:ascii="Corbel" w:eastAsia="Times New Roman" w:hAnsi="Corbel" w:cs="Arial"/>
                <w:i/>
                <w:iCs/>
                <w:color w:val="000000"/>
                <w:sz w:val="19"/>
                <w:szCs w:val="19"/>
                <w:lang w:val="en-GB" w:eastAsia="en-GB"/>
              </w:rPr>
              <w:t>(low, moderate, high, significant)</w:t>
            </w:r>
          </w:p>
        </w:tc>
        <w:tc>
          <w:tcPr>
            <w:tcW w:w="1559" w:type="dxa"/>
            <w:tcBorders>
              <w:top w:val="single" w:sz="4" w:space="0" w:color="auto"/>
              <w:left w:val="nil"/>
              <w:bottom w:val="single" w:sz="4" w:space="0" w:color="auto"/>
              <w:right w:val="single" w:sz="4" w:space="0" w:color="auto"/>
            </w:tcBorders>
            <w:shd w:val="clear" w:color="000000" w:fill="EBF1DE"/>
            <w:vAlign w:val="center"/>
            <w:hideMark/>
          </w:tcPr>
          <w:p w14:paraId="192A2EC8" w14:textId="77777777" w:rsidR="00B87A49" w:rsidRPr="00570ACC" w:rsidRDefault="00B87A49" w:rsidP="00252A8C">
            <w:pPr>
              <w:rPr>
                <w:rFonts w:ascii="Corbel" w:eastAsia="Times New Roman" w:hAnsi="Corbel"/>
                <w:sz w:val="19"/>
                <w:szCs w:val="19"/>
                <w:lang w:val="en-GB" w:eastAsia="en-GB"/>
              </w:rPr>
            </w:pPr>
            <w:r w:rsidRPr="00570ACC">
              <w:rPr>
                <w:rFonts w:ascii="Corbel" w:eastAsia="Times New Roman" w:hAnsi="Corbel"/>
                <w:b/>
                <w:bCs/>
                <w:sz w:val="19"/>
                <w:szCs w:val="19"/>
                <w:lang w:val="en-GB" w:eastAsia="en-GB"/>
              </w:rPr>
              <w:t>1.1.</w:t>
            </w:r>
            <w:r w:rsidRPr="00570ACC">
              <w:rPr>
                <w:rFonts w:ascii="Corbel" w:eastAsia="Times New Roman" w:hAnsi="Corbel"/>
                <w:sz w:val="19"/>
                <w:szCs w:val="19"/>
                <w:lang w:val="en-GB" w:eastAsia="en-GB"/>
              </w:rPr>
              <w:t xml:space="preserve"> Low (Lack of dedicated support to LAS senior management for PAFTA upgrading ACU preparatory processes; non-existence of technical models for trade policy formulation) [2017]</w:t>
            </w:r>
          </w:p>
        </w:tc>
        <w:tc>
          <w:tcPr>
            <w:tcW w:w="1133" w:type="dxa"/>
            <w:tcBorders>
              <w:top w:val="single" w:sz="4" w:space="0" w:color="auto"/>
              <w:left w:val="nil"/>
              <w:bottom w:val="single" w:sz="4" w:space="0" w:color="auto"/>
              <w:right w:val="single" w:sz="4" w:space="0" w:color="auto"/>
            </w:tcBorders>
            <w:shd w:val="clear" w:color="000000" w:fill="EBF1DE"/>
            <w:vAlign w:val="center"/>
            <w:hideMark/>
          </w:tcPr>
          <w:p w14:paraId="025177B7" w14:textId="0FECD834" w:rsidR="00B87A49" w:rsidRPr="00570ACC" w:rsidRDefault="00B87A49" w:rsidP="00252A8C">
            <w:pPr>
              <w:rPr>
                <w:rFonts w:ascii="Corbel" w:eastAsia="Times New Roman" w:hAnsi="Corbel"/>
                <w:color w:val="000000"/>
                <w:sz w:val="19"/>
                <w:szCs w:val="19"/>
                <w:lang w:val="en-GB" w:eastAsia="en-GB"/>
              </w:rPr>
            </w:pPr>
            <w:r w:rsidRPr="00570ACC">
              <w:rPr>
                <w:rFonts w:ascii="Corbel" w:eastAsia="Times New Roman" w:hAnsi="Corbel"/>
                <w:b/>
                <w:bCs/>
                <w:color w:val="000000"/>
                <w:sz w:val="19"/>
                <w:szCs w:val="19"/>
                <w:lang w:val="en-GB" w:eastAsia="en-GB"/>
              </w:rPr>
              <w:t>1.1.</w:t>
            </w:r>
            <w:r w:rsidRPr="00570ACC">
              <w:rPr>
                <w:rFonts w:ascii="Corbel" w:eastAsia="Times New Roman" w:hAnsi="Corbel"/>
                <w:color w:val="000000"/>
                <w:sz w:val="19"/>
                <w:szCs w:val="19"/>
                <w:lang w:val="en-GB" w:eastAsia="en-GB"/>
              </w:rPr>
              <w:t xml:space="preserve"> </w:t>
            </w:r>
            <w:r w:rsidR="00192489">
              <w:rPr>
                <w:rFonts w:ascii="Corbel" w:eastAsia="Times New Roman" w:hAnsi="Corbel"/>
                <w:b/>
                <w:bCs/>
                <w:color w:val="000000"/>
                <w:sz w:val="19"/>
                <w:szCs w:val="19"/>
                <w:lang w:val="en-GB" w:eastAsia="en-GB"/>
              </w:rPr>
              <w:t>M</w:t>
            </w:r>
            <w:r w:rsidR="008649C4">
              <w:rPr>
                <w:rFonts w:ascii="Corbel" w:eastAsia="Times New Roman" w:hAnsi="Corbel"/>
                <w:b/>
                <w:bCs/>
                <w:color w:val="000000"/>
                <w:sz w:val="19"/>
                <w:szCs w:val="19"/>
                <w:lang w:val="en-GB" w:eastAsia="en-GB"/>
              </w:rPr>
              <w:t>ode</w:t>
            </w:r>
            <w:r w:rsidR="00D20275">
              <w:rPr>
                <w:rFonts w:ascii="Corbel" w:eastAsia="Times New Roman" w:hAnsi="Corbel"/>
                <w:b/>
                <w:bCs/>
                <w:color w:val="000000"/>
                <w:sz w:val="19"/>
                <w:szCs w:val="19"/>
                <w:lang w:val="en-GB" w:eastAsia="en-GB"/>
              </w:rPr>
              <w:t xml:space="preserve">rate </w:t>
            </w:r>
            <w:r w:rsidRPr="00570ACC">
              <w:rPr>
                <w:rFonts w:ascii="Corbel" w:eastAsia="Times New Roman" w:hAnsi="Corbel"/>
                <w:color w:val="000000"/>
                <w:sz w:val="19"/>
                <w:szCs w:val="19"/>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000000" w:fill="EBF1DE"/>
            <w:vAlign w:val="center"/>
            <w:hideMark/>
          </w:tcPr>
          <w:p w14:paraId="0A6A5EC8" w14:textId="63842260" w:rsidR="00B87A49" w:rsidRPr="00570ACC" w:rsidRDefault="00B87A49" w:rsidP="00252A8C">
            <w:pPr>
              <w:rPr>
                <w:rFonts w:ascii="Corbel" w:eastAsia="Times New Roman" w:hAnsi="Corbel"/>
                <w:color w:val="000000"/>
                <w:sz w:val="19"/>
                <w:szCs w:val="19"/>
                <w:lang w:val="en-GB" w:eastAsia="en-GB"/>
              </w:rPr>
            </w:pPr>
            <w:r w:rsidRPr="00570ACC">
              <w:rPr>
                <w:rFonts w:ascii="Corbel" w:eastAsia="Times New Roman" w:hAnsi="Corbel"/>
                <w:b/>
                <w:bCs/>
                <w:color w:val="000000"/>
                <w:sz w:val="19"/>
                <w:szCs w:val="19"/>
                <w:lang w:val="en-GB" w:eastAsia="en-GB"/>
              </w:rPr>
              <w:t>1.1.</w:t>
            </w:r>
            <w:r w:rsidRPr="00570ACC">
              <w:rPr>
                <w:rFonts w:ascii="Corbel" w:eastAsia="Times New Roman" w:hAnsi="Corbel"/>
                <w:color w:val="000000"/>
                <w:sz w:val="19"/>
                <w:szCs w:val="19"/>
                <w:lang w:val="en-GB" w:eastAsia="en-GB"/>
              </w:rPr>
              <w:t xml:space="preserve">  </w:t>
            </w:r>
            <w:r w:rsidR="00192489">
              <w:rPr>
                <w:rFonts w:ascii="Corbel" w:eastAsia="Times New Roman" w:hAnsi="Corbel"/>
                <w:b/>
                <w:bCs/>
                <w:color w:val="000000"/>
                <w:sz w:val="19"/>
                <w:szCs w:val="19"/>
                <w:lang w:val="en-GB" w:eastAsia="en-GB"/>
              </w:rPr>
              <w:t>Moderate</w:t>
            </w:r>
          </w:p>
          <w:p w14:paraId="264F07A8" w14:textId="35A529F5" w:rsidR="00B87A49" w:rsidRPr="00570ACC" w:rsidRDefault="00B87A49" w:rsidP="00252A8C">
            <w:pPr>
              <w:rPr>
                <w:rFonts w:ascii="Corbel" w:eastAsia="Times New Roman" w:hAnsi="Corbel"/>
                <w:color w:val="000000"/>
                <w:sz w:val="19"/>
                <w:szCs w:val="19"/>
                <w:lang w:val="en-GB" w:eastAsia="en-GB"/>
              </w:rPr>
            </w:pPr>
            <w:r w:rsidRPr="00570ACC">
              <w:rPr>
                <w:rFonts w:ascii="Corbel" w:eastAsia="Times New Roman" w:hAnsi="Corbel"/>
                <w:color w:val="000000"/>
                <w:sz w:val="19"/>
                <w:szCs w:val="19"/>
                <w:lang w:val="en-GB" w:eastAsia="en-GB"/>
              </w:rPr>
              <w:t xml:space="preserve">1.Eight LAS technical committees, and ECOSOC increased their </w:t>
            </w:r>
            <w:r w:rsidR="006D6AA6">
              <w:rPr>
                <w:rFonts w:ascii="Corbel" w:eastAsia="Times New Roman" w:hAnsi="Corbel"/>
                <w:color w:val="000000"/>
                <w:sz w:val="19"/>
                <w:szCs w:val="19"/>
                <w:lang w:val="en-GB" w:eastAsia="en-GB"/>
              </w:rPr>
              <w:t xml:space="preserve">technical </w:t>
            </w:r>
            <w:r w:rsidRPr="00570ACC">
              <w:rPr>
                <w:rFonts w:ascii="Corbel" w:eastAsia="Times New Roman" w:hAnsi="Corbel"/>
                <w:color w:val="000000"/>
                <w:sz w:val="19"/>
                <w:szCs w:val="19"/>
                <w:lang w:val="en-GB" w:eastAsia="en-GB"/>
              </w:rPr>
              <w:t xml:space="preserve">capacities to draft </w:t>
            </w:r>
            <w:r w:rsidR="002518D9">
              <w:rPr>
                <w:rFonts w:ascii="Corbel" w:eastAsia="Times New Roman" w:hAnsi="Corbel"/>
                <w:color w:val="000000"/>
                <w:sz w:val="19"/>
                <w:szCs w:val="19"/>
                <w:lang w:val="en-GB" w:eastAsia="en-GB"/>
              </w:rPr>
              <w:t xml:space="preserve">trade </w:t>
            </w:r>
            <w:r w:rsidRPr="00570ACC">
              <w:rPr>
                <w:rFonts w:ascii="Corbel" w:eastAsia="Times New Roman" w:hAnsi="Corbel"/>
                <w:color w:val="000000"/>
                <w:sz w:val="19"/>
                <w:szCs w:val="19"/>
                <w:lang w:val="en-GB" w:eastAsia="en-GB"/>
              </w:rPr>
              <w:t>legal instruments</w:t>
            </w:r>
            <w:r w:rsidR="004D41D1">
              <w:rPr>
                <w:rFonts w:ascii="Corbel" w:eastAsia="Times New Roman" w:hAnsi="Corbel"/>
                <w:color w:val="000000"/>
                <w:sz w:val="19"/>
                <w:szCs w:val="19"/>
                <w:lang w:val="en-GB" w:eastAsia="en-GB"/>
              </w:rPr>
              <w:t>,</w:t>
            </w:r>
            <w:r w:rsidR="00B5503B">
              <w:rPr>
                <w:rFonts w:ascii="Corbel" w:eastAsia="Times New Roman" w:hAnsi="Corbel"/>
                <w:color w:val="000000"/>
                <w:sz w:val="19"/>
                <w:szCs w:val="19"/>
                <w:lang w:val="en-GB" w:eastAsia="en-GB"/>
              </w:rPr>
              <w:t xml:space="preserve"> </w:t>
            </w:r>
            <w:r w:rsidRPr="00570ACC">
              <w:rPr>
                <w:rFonts w:ascii="Corbel" w:eastAsia="Times New Roman" w:hAnsi="Corbel"/>
                <w:color w:val="000000"/>
                <w:sz w:val="19"/>
                <w:szCs w:val="19"/>
                <w:lang w:val="en-GB" w:eastAsia="en-GB"/>
              </w:rPr>
              <w:t>conduct follow-ups, advise technical committees and working groups.</w:t>
            </w:r>
          </w:p>
          <w:p w14:paraId="40E5810D" w14:textId="77777777" w:rsidR="00B87A49" w:rsidRPr="00570ACC" w:rsidRDefault="00B87A49" w:rsidP="00252A8C">
            <w:pPr>
              <w:rPr>
                <w:rFonts w:ascii="Corbel" w:eastAsia="Times New Roman" w:hAnsi="Corbel"/>
                <w:color w:val="000000"/>
                <w:sz w:val="19"/>
                <w:szCs w:val="19"/>
                <w:lang w:val="en-GB" w:eastAsia="en-GB"/>
              </w:rPr>
            </w:pPr>
            <w:r w:rsidRPr="00570ACC">
              <w:rPr>
                <w:rFonts w:ascii="Corbel" w:eastAsia="Times New Roman" w:hAnsi="Corbel"/>
                <w:color w:val="000000"/>
                <w:sz w:val="19"/>
                <w:szCs w:val="19"/>
                <w:lang w:val="en-GB" w:eastAsia="en-GB"/>
              </w:rPr>
              <w:t>2.Adoption of the political decision of upgrading PAFTA.</w:t>
            </w:r>
          </w:p>
        </w:tc>
        <w:tc>
          <w:tcPr>
            <w:tcW w:w="851" w:type="dxa"/>
            <w:tcBorders>
              <w:top w:val="single" w:sz="4" w:space="0" w:color="auto"/>
              <w:left w:val="nil"/>
              <w:bottom w:val="single" w:sz="4" w:space="0" w:color="auto"/>
              <w:right w:val="single" w:sz="4" w:space="0" w:color="auto"/>
            </w:tcBorders>
            <w:shd w:val="clear" w:color="000000" w:fill="EBF1DE"/>
            <w:vAlign w:val="center"/>
            <w:hideMark/>
          </w:tcPr>
          <w:p w14:paraId="3F9496B8" w14:textId="77777777" w:rsidR="00B87A49" w:rsidRPr="00570ACC" w:rsidRDefault="00B87A49" w:rsidP="00252A8C">
            <w:pPr>
              <w:rPr>
                <w:rFonts w:ascii="Corbel" w:eastAsia="Times New Roman" w:hAnsi="Corbel"/>
                <w:color w:val="000000"/>
                <w:sz w:val="19"/>
                <w:szCs w:val="19"/>
                <w:lang w:val="en-GB" w:eastAsia="en-GB"/>
              </w:rPr>
            </w:pPr>
            <w:r w:rsidRPr="00570ACC">
              <w:rPr>
                <w:rFonts w:ascii="Corbel" w:eastAsia="Times New Roman" w:hAnsi="Corbel"/>
                <w:color w:val="000000"/>
                <w:sz w:val="19"/>
                <w:szCs w:val="19"/>
                <w:lang w:val="en-GB" w:eastAsia="en-GB"/>
              </w:rPr>
              <w:t xml:space="preserve">1.1 </w:t>
            </w:r>
            <w:r w:rsidRPr="00570ACC">
              <w:rPr>
                <w:rFonts w:ascii="Corbel" w:eastAsia="Times New Roman" w:hAnsi="Corbel"/>
                <w:b/>
                <w:bCs/>
                <w:color w:val="000000"/>
                <w:sz w:val="19"/>
                <w:szCs w:val="19"/>
                <w:lang w:val="en-GB" w:eastAsia="en-GB"/>
              </w:rPr>
              <w:t>High</w:t>
            </w:r>
            <w:r w:rsidRPr="00570ACC">
              <w:rPr>
                <w:rFonts w:ascii="Corbel" w:eastAsia="Times New Roman" w:hAnsi="Corbel"/>
                <w:color w:val="000000"/>
                <w:sz w:val="19"/>
                <w:szCs w:val="19"/>
                <w:lang w:val="en-GB" w:eastAsia="en-GB"/>
              </w:rPr>
              <w:t xml:space="preserve"> </w:t>
            </w:r>
          </w:p>
        </w:tc>
        <w:tc>
          <w:tcPr>
            <w:tcW w:w="2125" w:type="dxa"/>
            <w:tcBorders>
              <w:top w:val="single" w:sz="4" w:space="0" w:color="auto"/>
              <w:left w:val="nil"/>
              <w:bottom w:val="single" w:sz="4" w:space="0" w:color="auto"/>
              <w:right w:val="single" w:sz="4" w:space="0" w:color="auto"/>
            </w:tcBorders>
            <w:shd w:val="clear" w:color="000000" w:fill="EBF1DE"/>
            <w:vAlign w:val="center"/>
            <w:hideMark/>
          </w:tcPr>
          <w:p w14:paraId="322637C1" w14:textId="77777777" w:rsidR="00FD1EAD" w:rsidRDefault="00B87A49" w:rsidP="00B5503B">
            <w:pPr>
              <w:rPr>
                <w:rFonts w:ascii="Corbel" w:eastAsia="Times New Roman" w:hAnsi="Corbel"/>
                <w:color w:val="000000"/>
                <w:sz w:val="19"/>
                <w:szCs w:val="19"/>
                <w:lang w:val="en-GB" w:eastAsia="en-GB"/>
              </w:rPr>
            </w:pPr>
            <w:r w:rsidRPr="00570ACC">
              <w:rPr>
                <w:rFonts w:ascii="Corbel" w:eastAsia="Times New Roman" w:hAnsi="Corbel"/>
                <w:color w:val="000000"/>
                <w:sz w:val="19"/>
                <w:szCs w:val="19"/>
                <w:lang w:val="en-GB" w:eastAsia="en-GB"/>
              </w:rPr>
              <w:t xml:space="preserve">1.1 </w:t>
            </w:r>
            <w:r w:rsidRPr="00570ACC">
              <w:rPr>
                <w:rFonts w:ascii="Corbel" w:eastAsia="Times New Roman" w:hAnsi="Corbel"/>
                <w:b/>
                <w:bCs/>
                <w:color w:val="000000"/>
                <w:sz w:val="19"/>
                <w:szCs w:val="19"/>
                <w:lang w:val="en-GB" w:eastAsia="en-GB"/>
              </w:rPr>
              <w:t>High</w:t>
            </w:r>
            <w:r w:rsidRPr="00570ACC">
              <w:rPr>
                <w:rFonts w:ascii="Corbel" w:eastAsia="Times New Roman" w:hAnsi="Corbel"/>
                <w:color w:val="000000"/>
                <w:sz w:val="19"/>
                <w:szCs w:val="19"/>
                <w:lang w:val="en-GB" w:eastAsia="en-GB"/>
              </w:rPr>
              <w:t xml:space="preserve"> – LAS </w:t>
            </w:r>
            <w:r w:rsidR="00CD52C3">
              <w:rPr>
                <w:rFonts w:ascii="Corbel" w:eastAsia="Times New Roman" w:hAnsi="Corbel"/>
                <w:color w:val="000000"/>
                <w:sz w:val="19"/>
                <w:szCs w:val="19"/>
                <w:lang w:val="en-GB" w:eastAsia="en-GB"/>
              </w:rPr>
              <w:t xml:space="preserve">secretariat </w:t>
            </w:r>
            <w:r w:rsidR="005C2CA8">
              <w:rPr>
                <w:rFonts w:ascii="Corbel" w:eastAsia="Times New Roman" w:hAnsi="Corbel"/>
                <w:color w:val="000000"/>
                <w:sz w:val="19"/>
                <w:szCs w:val="19"/>
                <w:lang w:val="en-GB" w:eastAsia="en-GB"/>
              </w:rPr>
              <w:t>disposes of</w:t>
            </w:r>
            <w:r w:rsidR="00FD1EAD">
              <w:rPr>
                <w:rFonts w:ascii="Corbel" w:eastAsia="Times New Roman" w:hAnsi="Corbel"/>
                <w:color w:val="000000"/>
                <w:sz w:val="19"/>
                <w:szCs w:val="19"/>
                <w:lang w:val="en-GB" w:eastAsia="en-GB"/>
              </w:rPr>
              <w:t>:</w:t>
            </w:r>
          </w:p>
          <w:p w14:paraId="7EFE877F" w14:textId="4C775F78" w:rsidR="00B87A49" w:rsidRPr="00570ACC" w:rsidRDefault="00FD1EAD" w:rsidP="00B5503B">
            <w:pPr>
              <w:rPr>
                <w:rFonts w:ascii="Corbel" w:eastAsia="Times New Roman" w:hAnsi="Corbel"/>
                <w:color w:val="000000"/>
                <w:sz w:val="19"/>
                <w:szCs w:val="19"/>
                <w:lang w:val="en-GB" w:eastAsia="en-GB"/>
              </w:rPr>
            </w:pPr>
            <w:r>
              <w:rPr>
                <w:rFonts w:ascii="Corbel" w:eastAsia="Times New Roman" w:hAnsi="Corbel"/>
                <w:color w:val="000000"/>
                <w:sz w:val="19"/>
                <w:szCs w:val="19"/>
                <w:lang w:val="en-GB" w:eastAsia="en-GB"/>
              </w:rPr>
              <w:t>1.</w:t>
            </w:r>
            <w:r w:rsidR="00B87A49" w:rsidRPr="00570ACC">
              <w:rPr>
                <w:rFonts w:ascii="Corbel" w:eastAsia="Times New Roman" w:hAnsi="Corbel"/>
                <w:color w:val="000000"/>
                <w:sz w:val="19"/>
                <w:szCs w:val="19"/>
                <w:lang w:val="en-GB" w:eastAsia="en-GB"/>
              </w:rPr>
              <w:t xml:space="preserve"> Draft instrument</w:t>
            </w:r>
            <w:r w:rsidR="00920412">
              <w:rPr>
                <w:rFonts w:ascii="Corbel" w:eastAsia="Times New Roman" w:hAnsi="Corbel"/>
                <w:color w:val="000000"/>
                <w:sz w:val="19"/>
                <w:szCs w:val="19"/>
                <w:lang w:val="en-GB" w:eastAsia="en-GB"/>
              </w:rPr>
              <w:t>s</w:t>
            </w:r>
            <w:r w:rsidR="00B87A49" w:rsidRPr="00570ACC">
              <w:rPr>
                <w:rFonts w:ascii="Corbel" w:eastAsia="Times New Roman" w:hAnsi="Corbel"/>
                <w:color w:val="000000"/>
                <w:sz w:val="19"/>
                <w:szCs w:val="19"/>
                <w:lang w:val="en-GB" w:eastAsia="en-GB"/>
              </w:rPr>
              <w:t xml:space="preserve"> of Dispute Settlement, Trade facilitation, Protection of IPR, </w:t>
            </w:r>
            <w:r w:rsidR="00E15BEC">
              <w:rPr>
                <w:rFonts w:ascii="Corbel" w:eastAsia="Times New Roman" w:hAnsi="Corbel"/>
                <w:color w:val="000000"/>
                <w:sz w:val="19"/>
                <w:szCs w:val="19"/>
                <w:lang w:val="en-GB" w:eastAsia="en-GB"/>
              </w:rPr>
              <w:t xml:space="preserve">and </w:t>
            </w:r>
            <w:r w:rsidR="00B87A49" w:rsidRPr="00570ACC">
              <w:rPr>
                <w:rFonts w:ascii="Corbel" w:eastAsia="Times New Roman" w:hAnsi="Corbel"/>
                <w:color w:val="000000"/>
                <w:sz w:val="19"/>
                <w:szCs w:val="19"/>
                <w:lang w:val="en-GB" w:eastAsia="en-GB"/>
              </w:rPr>
              <w:t xml:space="preserve">Consumers’ protection </w:t>
            </w:r>
          </w:p>
          <w:p w14:paraId="12A14868" w14:textId="7D465E5C" w:rsidR="00B87A49" w:rsidRPr="00570ACC" w:rsidRDefault="00B87A49" w:rsidP="00252A8C">
            <w:pPr>
              <w:rPr>
                <w:rFonts w:ascii="Corbel" w:eastAsia="Times New Roman" w:hAnsi="Corbel"/>
                <w:color w:val="000000"/>
                <w:sz w:val="19"/>
                <w:szCs w:val="19"/>
                <w:lang w:val="en-GB" w:eastAsia="en-GB"/>
              </w:rPr>
            </w:pPr>
            <w:r w:rsidRPr="00570ACC">
              <w:rPr>
                <w:rFonts w:ascii="Corbel" w:eastAsia="Times New Roman" w:hAnsi="Corbel"/>
                <w:color w:val="000000"/>
                <w:sz w:val="19"/>
                <w:szCs w:val="19"/>
                <w:lang w:val="en-GB" w:eastAsia="en-GB"/>
              </w:rPr>
              <w:t xml:space="preserve">2. Draft ACU Agreement and proposed governance </w:t>
            </w:r>
            <w:r w:rsidR="00076C00" w:rsidRPr="00570ACC">
              <w:rPr>
                <w:rFonts w:ascii="Corbel" w:eastAsia="Times New Roman" w:hAnsi="Corbel"/>
                <w:color w:val="000000"/>
                <w:sz w:val="19"/>
                <w:szCs w:val="19"/>
                <w:lang w:val="en-GB" w:eastAsia="en-GB"/>
              </w:rPr>
              <w:t>framework</w:t>
            </w:r>
            <w:r w:rsidR="00076C00">
              <w:rPr>
                <w:rFonts w:ascii="Corbel" w:eastAsia="Times New Roman" w:hAnsi="Corbel"/>
                <w:color w:val="000000"/>
                <w:sz w:val="19"/>
                <w:szCs w:val="19"/>
                <w:lang w:val="en-GB" w:eastAsia="en-GB"/>
              </w:rPr>
              <w:t>.</w:t>
            </w:r>
          </w:p>
        </w:tc>
      </w:tr>
      <w:tr w:rsidR="00B87A49" w:rsidRPr="00570ACC" w14:paraId="461BF634" w14:textId="77777777" w:rsidTr="00A1103E">
        <w:trPr>
          <w:trHeight w:val="870"/>
        </w:trPr>
        <w:tc>
          <w:tcPr>
            <w:tcW w:w="1413" w:type="dxa"/>
            <w:vMerge/>
            <w:tcBorders>
              <w:top w:val="single" w:sz="4" w:space="0" w:color="auto"/>
              <w:left w:val="single" w:sz="4" w:space="0" w:color="auto"/>
              <w:bottom w:val="nil"/>
              <w:right w:val="single" w:sz="4" w:space="0" w:color="auto"/>
            </w:tcBorders>
            <w:vAlign w:val="center"/>
            <w:hideMark/>
          </w:tcPr>
          <w:p w14:paraId="149D6464" w14:textId="77777777" w:rsidR="00B87A49" w:rsidRPr="00570ACC" w:rsidRDefault="00B87A49" w:rsidP="00252A8C">
            <w:pPr>
              <w:rPr>
                <w:rFonts w:ascii="Corbel" w:eastAsia="Times New Roman" w:hAnsi="Corbel"/>
                <w:sz w:val="19"/>
                <w:szCs w:val="19"/>
                <w:lang w:val="en-GB" w:eastAsia="en-GB"/>
              </w:rPr>
            </w:pPr>
          </w:p>
        </w:tc>
        <w:tc>
          <w:tcPr>
            <w:tcW w:w="1559" w:type="dxa"/>
            <w:tcBorders>
              <w:top w:val="nil"/>
              <w:left w:val="nil"/>
              <w:bottom w:val="single" w:sz="4" w:space="0" w:color="auto"/>
              <w:right w:val="single" w:sz="4" w:space="0" w:color="auto"/>
            </w:tcBorders>
            <w:shd w:val="clear" w:color="000000" w:fill="EBF1DE"/>
            <w:vAlign w:val="center"/>
            <w:hideMark/>
          </w:tcPr>
          <w:p w14:paraId="7520FE1B" w14:textId="77777777" w:rsidR="00B87A49" w:rsidRPr="00570ACC" w:rsidRDefault="00B87A49" w:rsidP="00252A8C">
            <w:pPr>
              <w:rPr>
                <w:rFonts w:ascii="Corbel" w:eastAsia="Times New Roman" w:hAnsi="Corbel" w:cs="Arial"/>
                <w:color w:val="000000"/>
                <w:sz w:val="19"/>
                <w:szCs w:val="19"/>
                <w:lang w:val="en-GB" w:eastAsia="en-GB"/>
              </w:rPr>
            </w:pPr>
            <w:r w:rsidRPr="00570ACC">
              <w:rPr>
                <w:rFonts w:ascii="Corbel" w:eastAsia="Times New Roman" w:hAnsi="Corbel" w:cs="Arial"/>
                <w:b/>
                <w:bCs/>
                <w:color w:val="000000"/>
                <w:sz w:val="19"/>
                <w:szCs w:val="19"/>
                <w:lang w:val="en-GB" w:eastAsia="en-GB"/>
              </w:rPr>
              <w:t>Indicator 1.2</w:t>
            </w:r>
            <w:r w:rsidRPr="00570ACC">
              <w:rPr>
                <w:rFonts w:ascii="Corbel" w:eastAsia="Times New Roman" w:hAnsi="Corbel" w:cs="Arial"/>
                <w:color w:val="000000"/>
                <w:sz w:val="19"/>
                <w:szCs w:val="19"/>
                <w:lang w:val="en-GB" w:eastAsia="en-GB"/>
              </w:rPr>
              <w:t xml:space="preserve">. Level of capacity of LAS Secretariat to facilitate the regional economic integration agenda </w:t>
            </w:r>
            <w:r w:rsidRPr="00570ACC">
              <w:rPr>
                <w:rFonts w:ascii="Corbel" w:eastAsia="Times New Roman" w:hAnsi="Corbel" w:cs="Arial"/>
                <w:i/>
                <w:iCs/>
                <w:color w:val="000000"/>
                <w:sz w:val="19"/>
                <w:szCs w:val="19"/>
                <w:lang w:val="en-GB" w:eastAsia="en-GB"/>
              </w:rPr>
              <w:t>(low, moderate, high, significant)</w:t>
            </w:r>
          </w:p>
        </w:tc>
        <w:tc>
          <w:tcPr>
            <w:tcW w:w="1559" w:type="dxa"/>
            <w:tcBorders>
              <w:top w:val="nil"/>
              <w:left w:val="nil"/>
              <w:bottom w:val="single" w:sz="4" w:space="0" w:color="auto"/>
              <w:right w:val="single" w:sz="4" w:space="0" w:color="auto"/>
            </w:tcBorders>
            <w:shd w:val="clear" w:color="000000" w:fill="EBF1DE"/>
            <w:vAlign w:val="center"/>
            <w:hideMark/>
          </w:tcPr>
          <w:p w14:paraId="0DC15157" w14:textId="77777777" w:rsidR="00B87A49" w:rsidRPr="00570ACC" w:rsidRDefault="00B87A49" w:rsidP="00252A8C">
            <w:pPr>
              <w:rPr>
                <w:rFonts w:ascii="Corbel" w:eastAsia="Times New Roman" w:hAnsi="Corbel"/>
                <w:sz w:val="19"/>
                <w:szCs w:val="19"/>
                <w:lang w:val="en-GB" w:eastAsia="en-GB"/>
              </w:rPr>
            </w:pPr>
            <w:r w:rsidRPr="00570ACC">
              <w:rPr>
                <w:rFonts w:ascii="Corbel" w:eastAsia="Times New Roman" w:hAnsi="Corbel"/>
                <w:b/>
                <w:bCs/>
                <w:sz w:val="19"/>
                <w:szCs w:val="19"/>
                <w:lang w:val="en-GB" w:eastAsia="en-GB"/>
              </w:rPr>
              <w:t>1.2.</w:t>
            </w:r>
            <w:r w:rsidRPr="00570ACC">
              <w:rPr>
                <w:rFonts w:ascii="Corbel" w:eastAsia="Times New Roman" w:hAnsi="Corbel"/>
                <w:sz w:val="19"/>
                <w:szCs w:val="19"/>
                <w:lang w:val="en-GB" w:eastAsia="en-GB"/>
              </w:rPr>
              <w:t xml:space="preserve"> Low (Lack of work programs and non-existence of regulations) [2017]</w:t>
            </w:r>
          </w:p>
        </w:tc>
        <w:tc>
          <w:tcPr>
            <w:tcW w:w="1133" w:type="dxa"/>
            <w:tcBorders>
              <w:top w:val="nil"/>
              <w:left w:val="nil"/>
              <w:bottom w:val="single" w:sz="4" w:space="0" w:color="auto"/>
              <w:right w:val="single" w:sz="4" w:space="0" w:color="auto"/>
            </w:tcBorders>
            <w:shd w:val="clear" w:color="000000" w:fill="EBF1DE"/>
            <w:vAlign w:val="center"/>
            <w:hideMark/>
          </w:tcPr>
          <w:p w14:paraId="4C5A3013" w14:textId="5DC47C08" w:rsidR="00B87A49" w:rsidRPr="00570ACC" w:rsidRDefault="00B87A49" w:rsidP="00252A8C">
            <w:pPr>
              <w:rPr>
                <w:rFonts w:ascii="Corbel" w:eastAsia="Times New Roman" w:hAnsi="Corbel"/>
                <w:color w:val="000000"/>
                <w:sz w:val="19"/>
                <w:szCs w:val="19"/>
                <w:lang w:val="en-GB" w:eastAsia="en-GB"/>
              </w:rPr>
            </w:pPr>
            <w:r w:rsidRPr="00570ACC">
              <w:rPr>
                <w:rFonts w:ascii="Corbel" w:eastAsia="Times New Roman" w:hAnsi="Corbel"/>
                <w:b/>
                <w:bCs/>
                <w:color w:val="000000"/>
                <w:sz w:val="19"/>
                <w:szCs w:val="19"/>
                <w:lang w:val="en-GB" w:eastAsia="en-GB"/>
              </w:rPr>
              <w:t>1.2.</w:t>
            </w:r>
            <w:r w:rsidRPr="00570ACC">
              <w:rPr>
                <w:rFonts w:ascii="Corbel" w:eastAsia="Times New Roman" w:hAnsi="Corbel"/>
                <w:color w:val="000000"/>
                <w:sz w:val="19"/>
                <w:szCs w:val="19"/>
                <w:lang w:val="en-GB" w:eastAsia="en-GB"/>
              </w:rPr>
              <w:t xml:space="preserve"> </w:t>
            </w:r>
            <w:r w:rsidR="00021F44">
              <w:rPr>
                <w:rFonts w:ascii="Corbel" w:eastAsia="Times New Roman" w:hAnsi="Corbel"/>
                <w:b/>
                <w:bCs/>
                <w:color w:val="000000"/>
                <w:sz w:val="19"/>
                <w:szCs w:val="19"/>
                <w:lang w:val="en-GB" w:eastAsia="en-GB"/>
              </w:rPr>
              <w:t>M</w:t>
            </w:r>
            <w:r w:rsidR="00C13DF3">
              <w:rPr>
                <w:rFonts w:ascii="Corbel" w:eastAsia="Times New Roman" w:hAnsi="Corbel"/>
                <w:b/>
                <w:bCs/>
                <w:color w:val="000000"/>
                <w:sz w:val="19"/>
                <w:szCs w:val="19"/>
                <w:lang w:val="en-GB" w:eastAsia="en-GB"/>
              </w:rPr>
              <w:t>o</w:t>
            </w:r>
            <w:r w:rsidR="0054714D">
              <w:rPr>
                <w:rFonts w:ascii="Corbel" w:eastAsia="Times New Roman" w:hAnsi="Corbel"/>
                <w:b/>
                <w:bCs/>
                <w:color w:val="000000"/>
                <w:sz w:val="19"/>
                <w:szCs w:val="19"/>
                <w:lang w:val="en-GB" w:eastAsia="en-GB"/>
              </w:rPr>
              <w:t>derate</w:t>
            </w:r>
            <w:r w:rsidRPr="00570ACC">
              <w:rPr>
                <w:rFonts w:ascii="Corbel" w:eastAsia="Times New Roman" w:hAnsi="Corbel"/>
                <w:color w:val="000000"/>
                <w:sz w:val="19"/>
                <w:szCs w:val="19"/>
                <w:lang w:val="en-GB" w:eastAsia="en-GB"/>
              </w:rPr>
              <w:t xml:space="preserve"> </w:t>
            </w:r>
          </w:p>
        </w:tc>
        <w:tc>
          <w:tcPr>
            <w:tcW w:w="1843" w:type="dxa"/>
            <w:tcBorders>
              <w:top w:val="nil"/>
              <w:left w:val="nil"/>
              <w:bottom w:val="single" w:sz="4" w:space="0" w:color="auto"/>
              <w:right w:val="single" w:sz="4" w:space="0" w:color="auto"/>
            </w:tcBorders>
            <w:shd w:val="clear" w:color="000000" w:fill="EBF1DE"/>
            <w:vAlign w:val="center"/>
            <w:hideMark/>
          </w:tcPr>
          <w:p w14:paraId="3AF32EF5" w14:textId="243B349C" w:rsidR="00B87A49" w:rsidRPr="00570ACC" w:rsidRDefault="00B87A49" w:rsidP="00252A8C">
            <w:pPr>
              <w:rPr>
                <w:rFonts w:ascii="Corbel" w:eastAsia="Times New Roman" w:hAnsi="Corbel"/>
                <w:color w:val="000000"/>
                <w:sz w:val="19"/>
                <w:szCs w:val="19"/>
                <w:lang w:val="en-GB" w:eastAsia="en-GB"/>
              </w:rPr>
            </w:pPr>
            <w:r w:rsidRPr="00570ACC">
              <w:rPr>
                <w:rFonts w:ascii="Corbel" w:eastAsia="Times New Roman" w:hAnsi="Corbel"/>
                <w:b/>
                <w:bCs/>
                <w:color w:val="000000"/>
                <w:sz w:val="19"/>
                <w:szCs w:val="19"/>
                <w:lang w:val="en-GB" w:eastAsia="en-GB"/>
              </w:rPr>
              <w:t>1.2.</w:t>
            </w:r>
            <w:r w:rsidRPr="00570ACC">
              <w:rPr>
                <w:rFonts w:ascii="Corbel" w:eastAsia="Times New Roman" w:hAnsi="Corbel"/>
                <w:color w:val="000000"/>
                <w:sz w:val="19"/>
                <w:szCs w:val="19"/>
                <w:lang w:val="en-GB" w:eastAsia="en-GB"/>
              </w:rPr>
              <w:t xml:space="preserve"> </w:t>
            </w:r>
            <w:r w:rsidR="00021F44" w:rsidRPr="00021F44">
              <w:rPr>
                <w:rFonts w:ascii="Corbel" w:eastAsia="Times New Roman" w:hAnsi="Corbel"/>
                <w:b/>
                <w:bCs/>
                <w:color w:val="000000"/>
                <w:sz w:val="19"/>
                <w:szCs w:val="19"/>
                <w:lang w:val="en-GB" w:eastAsia="en-GB"/>
              </w:rPr>
              <w:t>Moderate</w:t>
            </w:r>
            <w:r w:rsidRPr="00570ACC">
              <w:rPr>
                <w:rFonts w:ascii="Corbel" w:eastAsia="Times New Roman" w:hAnsi="Corbel"/>
                <w:color w:val="000000"/>
                <w:sz w:val="19"/>
                <w:szCs w:val="19"/>
                <w:lang w:val="en-GB" w:eastAsia="en-GB"/>
              </w:rPr>
              <w:t xml:space="preserve"> </w:t>
            </w:r>
          </w:p>
          <w:p w14:paraId="1E5D2F9E" w14:textId="78211B62" w:rsidR="00B87A49" w:rsidRPr="00570ACC" w:rsidRDefault="00B87A49" w:rsidP="00252A8C">
            <w:pPr>
              <w:rPr>
                <w:rFonts w:ascii="Corbel" w:eastAsia="Times New Roman" w:hAnsi="Corbel"/>
                <w:color w:val="000000"/>
                <w:sz w:val="19"/>
                <w:szCs w:val="19"/>
                <w:lang w:val="en-GB" w:eastAsia="en-GB"/>
              </w:rPr>
            </w:pPr>
            <w:r w:rsidRPr="00570ACC">
              <w:rPr>
                <w:rFonts w:ascii="Corbel" w:eastAsia="Times New Roman" w:hAnsi="Corbel"/>
                <w:color w:val="000000"/>
                <w:sz w:val="19"/>
                <w:szCs w:val="19"/>
                <w:lang w:val="en-GB" w:eastAsia="en-GB"/>
              </w:rPr>
              <w:t xml:space="preserve">1.Website of LAS Economic Sector </w:t>
            </w:r>
            <w:r w:rsidR="00E952A1">
              <w:rPr>
                <w:rFonts w:ascii="Corbel" w:eastAsia="Times New Roman" w:hAnsi="Corbel"/>
                <w:color w:val="000000"/>
                <w:sz w:val="19"/>
                <w:szCs w:val="19"/>
                <w:lang w:val="en-GB" w:eastAsia="en-GB"/>
              </w:rPr>
              <w:t>developed</w:t>
            </w:r>
          </w:p>
          <w:p w14:paraId="77F8863B" w14:textId="77777777" w:rsidR="00B87A49" w:rsidRPr="00570ACC" w:rsidRDefault="00B87A49" w:rsidP="00252A8C">
            <w:pPr>
              <w:rPr>
                <w:rFonts w:ascii="Corbel" w:eastAsia="Times New Roman" w:hAnsi="Corbel"/>
                <w:color w:val="000000"/>
                <w:sz w:val="19"/>
                <w:szCs w:val="19"/>
                <w:lang w:val="en-GB" w:eastAsia="en-GB"/>
              </w:rPr>
            </w:pPr>
            <w:r w:rsidRPr="00570ACC">
              <w:rPr>
                <w:rFonts w:ascii="Corbel" w:eastAsia="Times New Roman" w:hAnsi="Corbel"/>
                <w:color w:val="000000"/>
                <w:sz w:val="19"/>
                <w:szCs w:val="19"/>
                <w:lang w:val="en-GB" w:eastAsia="en-GB"/>
              </w:rPr>
              <w:t>2. Support to improve planning capacity of LAS.</w:t>
            </w:r>
          </w:p>
        </w:tc>
        <w:tc>
          <w:tcPr>
            <w:tcW w:w="851" w:type="dxa"/>
            <w:tcBorders>
              <w:top w:val="nil"/>
              <w:left w:val="nil"/>
              <w:bottom w:val="single" w:sz="4" w:space="0" w:color="auto"/>
              <w:right w:val="single" w:sz="4" w:space="0" w:color="auto"/>
            </w:tcBorders>
            <w:shd w:val="clear" w:color="000000" w:fill="EBF1DE"/>
            <w:vAlign w:val="center"/>
            <w:hideMark/>
          </w:tcPr>
          <w:p w14:paraId="14426A5D" w14:textId="2F8805A3" w:rsidR="00B87A49" w:rsidRPr="00570ACC" w:rsidRDefault="00B87A49" w:rsidP="00252A8C">
            <w:pPr>
              <w:rPr>
                <w:rFonts w:ascii="Corbel" w:eastAsia="Times New Roman" w:hAnsi="Corbel"/>
                <w:color w:val="000000"/>
                <w:sz w:val="19"/>
                <w:szCs w:val="19"/>
                <w:lang w:val="en-GB" w:eastAsia="en-GB"/>
              </w:rPr>
            </w:pPr>
            <w:r w:rsidRPr="00570ACC">
              <w:rPr>
                <w:rFonts w:ascii="Corbel" w:eastAsia="Times New Roman" w:hAnsi="Corbel"/>
                <w:color w:val="000000"/>
                <w:sz w:val="19"/>
                <w:szCs w:val="19"/>
                <w:lang w:val="en-GB" w:eastAsia="en-GB"/>
              </w:rPr>
              <w:t xml:space="preserve">1.2 </w:t>
            </w:r>
            <w:r w:rsidR="000D4B7F">
              <w:rPr>
                <w:rFonts w:ascii="Corbel" w:eastAsia="Times New Roman" w:hAnsi="Corbel"/>
                <w:b/>
                <w:bCs/>
                <w:color w:val="000000"/>
                <w:sz w:val="19"/>
                <w:szCs w:val="19"/>
                <w:lang w:val="en-GB" w:eastAsia="en-GB"/>
              </w:rPr>
              <w:t>Moderate</w:t>
            </w:r>
          </w:p>
        </w:tc>
        <w:tc>
          <w:tcPr>
            <w:tcW w:w="2125" w:type="dxa"/>
            <w:tcBorders>
              <w:top w:val="nil"/>
              <w:left w:val="nil"/>
              <w:bottom w:val="single" w:sz="4" w:space="0" w:color="auto"/>
              <w:right w:val="single" w:sz="4" w:space="0" w:color="auto"/>
            </w:tcBorders>
            <w:shd w:val="clear" w:color="000000" w:fill="EBF1DE"/>
            <w:vAlign w:val="center"/>
            <w:hideMark/>
          </w:tcPr>
          <w:p w14:paraId="52F73F09" w14:textId="2C0CF455" w:rsidR="00B87A49" w:rsidRPr="00570ACC" w:rsidRDefault="00B87A49" w:rsidP="00252A8C">
            <w:pPr>
              <w:rPr>
                <w:rFonts w:ascii="Corbel" w:eastAsia="Times New Roman" w:hAnsi="Corbel"/>
                <w:color w:val="000000"/>
                <w:sz w:val="19"/>
                <w:szCs w:val="19"/>
                <w:lang w:val="en-GB" w:eastAsia="en-GB"/>
              </w:rPr>
            </w:pPr>
            <w:r w:rsidRPr="00570ACC">
              <w:rPr>
                <w:rFonts w:ascii="Corbel" w:eastAsia="Times New Roman" w:hAnsi="Corbel"/>
                <w:color w:val="000000"/>
                <w:sz w:val="19"/>
                <w:szCs w:val="19"/>
                <w:lang w:val="en-GB" w:eastAsia="en-GB"/>
              </w:rPr>
              <w:t xml:space="preserve">1.2 </w:t>
            </w:r>
            <w:r w:rsidR="00A817DC">
              <w:rPr>
                <w:rFonts w:ascii="Corbel" w:eastAsia="Times New Roman" w:hAnsi="Corbel"/>
                <w:b/>
                <w:bCs/>
                <w:color w:val="000000"/>
                <w:sz w:val="19"/>
                <w:szCs w:val="19"/>
                <w:lang w:val="en-GB" w:eastAsia="en-GB"/>
              </w:rPr>
              <w:t>Moderate</w:t>
            </w:r>
            <w:r w:rsidRPr="00570ACC">
              <w:rPr>
                <w:rFonts w:ascii="Corbel" w:eastAsia="Times New Roman" w:hAnsi="Corbel"/>
                <w:color w:val="000000"/>
                <w:sz w:val="19"/>
                <w:szCs w:val="19"/>
                <w:lang w:val="en-GB" w:eastAsia="en-GB"/>
              </w:rPr>
              <w:t xml:space="preserve">. </w:t>
            </w:r>
          </w:p>
          <w:p w14:paraId="3AFE8FDE" w14:textId="12480B99" w:rsidR="00B87A49" w:rsidRPr="00570ACC" w:rsidRDefault="00192489" w:rsidP="00252A8C">
            <w:pPr>
              <w:rPr>
                <w:rFonts w:ascii="Corbel" w:eastAsia="Times New Roman" w:hAnsi="Corbel"/>
                <w:color w:val="000000"/>
                <w:sz w:val="19"/>
                <w:szCs w:val="19"/>
                <w:lang w:val="en-GB" w:eastAsia="en-GB"/>
              </w:rPr>
            </w:pPr>
            <w:r>
              <w:rPr>
                <w:rFonts w:ascii="Corbel" w:eastAsia="Times New Roman" w:hAnsi="Corbel"/>
                <w:color w:val="000000"/>
                <w:sz w:val="19"/>
                <w:szCs w:val="19"/>
                <w:lang w:val="en-GB" w:eastAsia="en-GB"/>
              </w:rPr>
              <w:t>1</w:t>
            </w:r>
            <w:r w:rsidR="00B87A49" w:rsidRPr="00570ACC">
              <w:rPr>
                <w:rFonts w:ascii="Corbel" w:eastAsia="Times New Roman" w:hAnsi="Corbel"/>
                <w:color w:val="000000"/>
                <w:sz w:val="19"/>
                <w:szCs w:val="19"/>
                <w:lang w:val="en-GB" w:eastAsia="en-GB"/>
              </w:rPr>
              <w:t xml:space="preserve">. The upgraded website </w:t>
            </w:r>
            <w:r w:rsidR="008278EB">
              <w:rPr>
                <w:rFonts w:ascii="Corbel" w:eastAsia="Times New Roman" w:hAnsi="Corbel"/>
                <w:color w:val="000000"/>
                <w:sz w:val="19"/>
                <w:szCs w:val="19"/>
                <w:lang w:val="en-GB" w:eastAsia="en-GB"/>
              </w:rPr>
              <w:t>on</w:t>
            </w:r>
            <w:r w:rsidR="00B87A49" w:rsidRPr="00570ACC">
              <w:rPr>
                <w:rFonts w:ascii="Corbel" w:eastAsia="Times New Roman" w:hAnsi="Corbel"/>
                <w:color w:val="000000"/>
                <w:sz w:val="19"/>
                <w:szCs w:val="19"/>
                <w:lang w:val="en-GB" w:eastAsia="en-GB"/>
              </w:rPr>
              <w:t xml:space="preserve"> Arab Economic Integration </w:t>
            </w:r>
            <w:r w:rsidR="00720295">
              <w:rPr>
                <w:rFonts w:ascii="Corbel" w:eastAsia="Times New Roman" w:hAnsi="Corbel"/>
                <w:color w:val="000000"/>
                <w:sz w:val="19"/>
                <w:szCs w:val="19"/>
                <w:lang w:val="en-GB" w:eastAsia="en-GB"/>
              </w:rPr>
              <w:t>did</w:t>
            </w:r>
            <w:r w:rsidR="00BB153B">
              <w:rPr>
                <w:rFonts w:ascii="Corbel" w:eastAsia="Times New Roman" w:hAnsi="Corbel"/>
                <w:color w:val="000000"/>
                <w:sz w:val="19"/>
                <w:szCs w:val="19"/>
                <w:lang w:val="en-GB" w:eastAsia="en-GB"/>
              </w:rPr>
              <w:t xml:space="preserve"> not go live.</w:t>
            </w:r>
          </w:p>
          <w:p w14:paraId="01831DE4" w14:textId="77777777" w:rsidR="00B87A49" w:rsidRDefault="00192489" w:rsidP="00252A8C">
            <w:pPr>
              <w:rPr>
                <w:rFonts w:ascii="Corbel" w:eastAsia="Times New Roman" w:hAnsi="Corbel"/>
                <w:color w:val="000000"/>
                <w:sz w:val="19"/>
                <w:szCs w:val="19"/>
                <w:lang w:val="en-GB" w:eastAsia="en-GB"/>
              </w:rPr>
            </w:pPr>
            <w:r>
              <w:rPr>
                <w:rFonts w:ascii="Corbel" w:eastAsia="Times New Roman" w:hAnsi="Corbel"/>
                <w:color w:val="000000"/>
                <w:sz w:val="19"/>
                <w:szCs w:val="19"/>
                <w:lang w:val="en-GB" w:eastAsia="en-GB"/>
              </w:rPr>
              <w:t>2</w:t>
            </w:r>
            <w:r w:rsidR="00B87A49" w:rsidRPr="00570ACC">
              <w:rPr>
                <w:rFonts w:ascii="Corbel" w:eastAsia="Times New Roman" w:hAnsi="Corbel"/>
                <w:color w:val="000000"/>
                <w:sz w:val="19"/>
                <w:szCs w:val="19"/>
                <w:lang w:val="en-GB" w:eastAsia="en-GB"/>
              </w:rPr>
              <w:t xml:space="preserve">. </w:t>
            </w:r>
            <w:r w:rsidR="006735F8">
              <w:rPr>
                <w:rFonts w:ascii="Corbel" w:eastAsia="Times New Roman" w:hAnsi="Corbel"/>
                <w:color w:val="000000"/>
                <w:sz w:val="19"/>
                <w:szCs w:val="19"/>
                <w:lang w:val="en-GB" w:eastAsia="en-GB"/>
              </w:rPr>
              <w:t>LAS staff trained on</w:t>
            </w:r>
            <w:r w:rsidR="00B87A49" w:rsidRPr="00570ACC">
              <w:rPr>
                <w:rFonts w:ascii="Corbel" w:eastAsia="Times New Roman" w:hAnsi="Corbel"/>
                <w:color w:val="000000"/>
                <w:sz w:val="19"/>
                <w:szCs w:val="19"/>
                <w:lang w:val="en-GB" w:eastAsia="en-GB"/>
              </w:rPr>
              <w:t xml:space="preserve"> negotiations of protocols to upgrade PAFTA upgrading. </w:t>
            </w:r>
          </w:p>
          <w:p w14:paraId="52E213BC" w14:textId="36CDC79E" w:rsidR="009A383B" w:rsidRPr="00570ACC" w:rsidRDefault="009A383B" w:rsidP="009A383B">
            <w:pPr>
              <w:rPr>
                <w:rFonts w:ascii="Corbel" w:eastAsia="Times New Roman" w:hAnsi="Corbel"/>
                <w:color w:val="000000"/>
                <w:sz w:val="19"/>
                <w:szCs w:val="19"/>
                <w:lang w:val="en-GB" w:eastAsia="en-GB"/>
              </w:rPr>
            </w:pPr>
            <w:r>
              <w:rPr>
                <w:rFonts w:ascii="Corbel" w:eastAsia="Times New Roman" w:hAnsi="Corbel"/>
                <w:color w:val="000000"/>
                <w:sz w:val="19"/>
                <w:szCs w:val="19"/>
                <w:lang w:val="en-GB" w:eastAsia="en-GB"/>
              </w:rPr>
              <w:t>3</w:t>
            </w:r>
            <w:r w:rsidRPr="009A383B">
              <w:rPr>
                <w:rFonts w:ascii="Corbel" w:eastAsia="Times New Roman" w:hAnsi="Corbel"/>
                <w:color w:val="000000"/>
                <w:sz w:val="19"/>
                <w:szCs w:val="19"/>
                <w:lang w:val="en-GB" w:eastAsia="en-GB"/>
              </w:rPr>
              <w:t>. Enhanced operationalization of the Agreement on trade in services.</w:t>
            </w:r>
          </w:p>
        </w:tc>
      </w:tr>
    </w:tbl>
    <w:p w14:paraId="1D3FB263" w14:textId="289E8370" w:rsidR="00F05944" w:rsidRPr="00B87A49" w:rsidRDefault="00F05944" w:rsidP="00E47EA3">
      <w:pPr>
        <w:tabs>
          <w:tab w:val="left" w:pos="7230"/>
        </w:tabs>
        <w:spacing w:line="276" w:lineRule="auto"/>
        <w:jc w:val="both"/>
        <w:outlineLvl w:val="0"/>
        <w:rPr>
          <w:rFonts w:ascii="Corbel" w:hAnsi="Corbel" w:cs="Arial"/>
          <w:sz w:val="22"/>
          <w:szCs w:val="22"/>
        </w:rPr>
      </w:pPr>
    </w:p>
    <w:p w14:paraId="163CC8E9" w14:textId="49A410AF" w:rsidR="00512CB3" w:rsidRPr="00D2664E" w:rsidRDefault="00512CB3" w:rsidP="00E47EA3">
      <w:pPr>
        <w:tabs>
          <w:tab w:val="left" w:pos="7230"/>
        </w:tabs>
        <w:spacing w:line="276" w:lineRule="auto"/>
        <w:jc w:val="both"/>
        <w:outlineLvl w:val="0"/>
        <w:rPr>
          <w:rFonts w:ascii="Corbel" w:hAnsi="Corbel" w:cs="Arial"/>
          <w:b/>
          <w:bCs/>
          <w:sz w:val="22"/>
          <w:szCs w:val="22"/>
          <w:u w:val="single"/>
          <w:lang w:val="en-GB"/>
        </w:rPr>
      </w:pPr>
      <w:bookmarkStart w:id="56" w:name="_Toc103506597"/>
      <w:r w:rsidRPr="00D2664E">
        <w:rPr>
          <w:rFonts w:ascii="Corbel" w:hAnsi="Corbel" w:cs="Arial"/>
          <w:b/>
          <w:bCs/>
          <w:sz w:val="22"/>
          <w:szCs w:val="22"/>
          <w:u w:val="single"/>
          <w:lang w:val="en-GB"/>
        </w:rPr>
        <w:t>Outcome 2: Members states are capacitated and technically prepared for regional economic integration.</w:t>
      </w:r>
      <w:bookmarkEnd w:id="56"/>
      <w:r w:rsidRPr="00D2664E">
        <w:rPr>
          <w:rFonts w:ascii="Corbel" w:hAnsi="Corbel" w:cs="Arial"/>
          <w:b/>
          <w:bCs/>
          <w:sz w:val="22"/>
          <w:szCs w:val="22"/>
          <w:u w:val="single"/>
          <w:lang w:val="en-GB"/>
        </w:rPr>
        <w:t xml:space="preserve"> </w:t>
      </w:r>
    </w:p>
    <w:p w14:paraId="5F2FBAF9" w14:textId="106E83A0" w:rsidR="00105739" w:rsidRPr="00570ACC" w:rsidRDefault="00822147" w:rsidP="00105739">
      <w:pPr>
        <w:jc w:val="both"/>
        <w:rPr>
          <w:rFonts w:ascii="Corbel" w:hAnsi="Corbel" w:cs="Arial"/>
          <w:sz w:val="22"/>
          <w:szCs w:val="22"/>
          <w:lang w:val="en-GB"/>
        </w:rPr>
      </w:pPr>
      <w:r>
        <w:rPr>
          <w:rFonts w:ascii="Corbel" w:hAnsi="Corbel" w:cs="Arial"/>
          <w:sz w:val="22"/>
          <w:szCs w:val="22"/>
          <w:lang w:val="en-GB"/>
        </w:rPr>
        <w:t>T</w:t>
      </w:r>
      <w:r w:rsidR="00CF269C" w:rsidRPr="00570ACC">
        <w:rPr>
          <w:rFonts w:ascii="Corbel" w:hAnsi="Corbel" w:cs="Arial"/>
          <w:sz w:val="22"/>
          <w:szCs w:val="22"/>
          <w:lang w:val="en-GB"/>
        </w:rPr>
        <w:t xml:space="preserve">he adoption of trade facilitation measures and the implementation of trade agreements relies primarily </w:t>
      </w:r>
      <w:r w:rsidR="00511E12" w:rsidRPr="00570ACC">
        <w:rPr>
          <w:rFonts w:ascii="Corbel" w:hAnsi="Corbel" w:cs="Arial"/>
          <w:sz w:val="22"/>
          <w:szCs w:val="22"/>
          <w:lang w:val="en-GB"/>
        </w:rPr>
        <w:t xml:space="preserve">on </w:t>
      </w:r>
      <w:r w:rsidR="00721178" w:rsidRPr="00570ACC">
        <w:rPr>
          <w:rFonts w:ascii="Corbel" w:hAnsi="Corbel" w:cs="Arial"/>
          <w:sz w:val="22"/>
          <w:szCs w:val="22"/>
          <w:lang w:val="en-GB"/>
        </w:rPr>
        <w:t xml:space="preserve">implementation </w:t>
      </w:r>
      <w:r w:rsidR="0082462C">
        <w:rPr>
          <w:rFonts w:ascii="Corbel" w:hAnsi="Corbel" w:cs="Arial"/>
          <w:sz w:val="22"/>
          <w:szCs w:val="22"/>
          <w:lang w:val="en-GB"/>
        </w:rPr>
        <w:t xml:space="preserve">at </w:t>
      </w:r>
      <w:r w:rsidR="007361BB" w:rsidRPr="00570ACC">
        <w:rPr>
          <w:rFonts w:ascii="Corbel" w:hAnsi="Corbel" w:cs="Arial"/>
          <w:sz w:val="22"/>
          <w:szCs w:val="22"/>
          <w:lang w:val="en-GB"/>
        </w:rPr>
        <w:t>the country level</w:t>
      </w:r>
      <w:r w:rsidR="00A00566">
        <w:rPr>
          <w:rFonts w:ascii="Corbel" w:hAnsi="Corbel" w:cs="Arial"/>
          <w:sz w:val="22"/>
          <w:szCs w:val="22"/>
          <w:lang w:val="en-GB"/>
        </w:rPr>
        <w:t xml:space="preserve">. Progress in this area </w:t>
      </w:r>
      <w:r w:rsidR="00821833">
        <w:rPr>
          <w:rFonts w:ascii="Corbel" w:hAnsi="Corbel" w:cs="Arial"/>
          <w:sz w:val="22"/>
          <w:szCs w:val="22"/>
          <w:lang w:val="en-GB"/>
        </w:rPr>
        <w:t xml:space="preserve">supported by the project </w:t>
      </w:r>
      <w:r w:rsidR="00A00566">
        <w:rPr>
          <w:rFonts w:ascii="Corbel" w:hAnsi="Corbel" w:cs="Arial"/>
          <w:sz w:val="22"/>
          <w:szCs w:val="22"/>
          <w:lang w:val="en-GB"/>
        </w:rPr>
        <w:t xml:space="preserve">during </w:t>
      </w:r>
      <w:r w:rsidR="00821833">
        <w:rPr>
          <w:rFonts w:ascii="Corbel" w:hAnsi="Corbel" w:cs="Arial"/>
          <w:sz w:val="22"/>
          <w:szCs w:val="22"/>
          <w:lang w:val="en-GB"/>
        </w:rPr>
        <w:t>its</w:t>
      </w:r>
      <w:r w:rsidR="00A00566">
        <w:rPr>
          <w:rFonts w:ascii="Corbel" w:hAnsi="Corbel" w:cs="Arial"/>
          <w:sz w:val="22"/>
          <w:szCs w:val="22"/>
          <w:lang w:val="en-GB"/>
        </w:rPr>
        <w:t xml:space="preserve"> implementation period is </w:t>
      </w:r>
      <w:r w:rsidR="006B1EB5">
        <w:rPr>
          <w:rFonts w:ascii="Corbel" w:hAnsi="Corbel" w:cs="Arial"/>
          <w:sz w:val="22"/>
          <w:szCs w:val="22"/>
          <w:lang w:val="en-GB"/>
        </w:rPr>
        <w:t>summarized below.</w:t>
      </w:r>
    </w:p>
    <w:p w14:paraId="70FE7828" w14:textId="74002CAA" w:rsidR="00105739" w:rsidRPr="00570ACC" w:rsidRDefault="00105739" w:rsidP="00105739">
      <w:pPr>
        <w:jc w:val="both"/>
        <w:rPr>
          <w:rFonts w:ascii="Corbel" w:hAnsi="Corbel" w:cs="Arial"/>
          <w:sz w:val="22"/>
          <w:szCs w:val="22"/>
          <w:lang w:val="en-GB"/>
        </w:rPr>
      </w:pPr>
    </w:p>
    <w:p w14:paraId="3305DB0D" w14:textId="681E1FFA" w:rsidR="00CC0EA9" w:rsidRPr="00D2664E" w:rsidRDefault="00CC0EA9" w:rsidP="00CC0EA9">
      <w:pPr>
        <w:tabs>
          <w:tab w:val="left" w:pos="7230"/>
        </w:tabs>
        <w:spacing w:line="276" w:lineRule="auto"/>
        <w:jc w:val="both"/>
        <w:outlineLvl w:val="0"/>
        <w:rPr>
          <w:rFonts w:ascii="Corbel" w:hAnsi="Corbel" w:cs="Arial"/>
          <w:i/>
          <w:iCs/>
          <w:sz w:val="22"/>
          <w:szCs w:val="22"/>
          <w:lang w:val="en-GB"/>
        </w:rPr>
      </w:pPr>
      <w:bookmarkStart w:id="57" w:name="_Toc103506598"/>
      <w:r w:rsidRPr="00D2664E">
        <w:rPr>
          <w:rFonts w:ascii="Corbel" w:hAnsi="Corbel" w:cs="Arial"/>
          <w:b/>
          <w:bCs/>
          <w:i/>
          <w:iCs/>
          <w:sz w:val="22"/>
          <w:szCs w:val="22"/>
          <w:lang w:val="en-GB"/>
        </w:rPr>
        <w:t>Key benchmarks of achievement against the outcome attributable to UNDP contribution:</w:t>
      </w:r>
      <w:bookmarkEnd w:id="57"/>
    </w:p>
    <w:p w14:paraId="21A1811A" w14:textId="78C4995B" w:rsidR="000B2FBC" w:rsidRPr="00570ACC" w:rsidRDefault="00ED2C1F" w:rsidP="000168EC">
      <w:pPr>
        <w:pStyle w:val="ListParagraph"/>
        <w:numPr>
          <w:ilvl w:val="0"/>
          <w:numId w:val="10"/>
        </w:numPr>
        <w:spacing w:line="276" w:lineRule="auto"/>
        <w:jc w:val="both"/>
        <w:outlineLvl w:val="0"/>
        <w:rPr>
          <w:rFonts w:ascii="Corbel" w:hAnsi="Corbel" w:cs="Arial"/>
          <w:sz w:val="22"/>
          <w:szCs w:val="22"/>
          <w:lang w:val="en-GB"/>
        </w:rPr>
      </w:pPr>
      <w:bookmarkStart w:id="58" w:name="_Toc103506599"/>
      <w:r>
        <w:rPr>
          <w:rFonts w:ascii="Corbel" w:hAnsi="Corbel" w:cs="Arial"/>
          <w:sz w:val="22"/>
          <w:szCs w:val="22"/>
          <w:lang w:val="en-GB"/>
        </w:rPr>
        <w:t>U</w:t>
      </w:r>
      <w:r w:rsidRPr="00570ACC">
        <w:rPr>
          <w:rFonts w:ascii="Corbel" w:hAnsi="Corbel" w:cs="Arial"/>
          <w:sz w:val="22"/>
          <w:szCs w:val="22"/>
          <w:lang w:val="en-GB"/>
        </w:rPr>
        <w:t>nder the guidance of the LAS ECOSOC</w:t>
      </w:r>
      <w:r>
        <w:rPr>
          <w:rFonts w:ascii="Corbel" w:hAnsi="Corbel" w:cs="Arial"/>
          <w:sz w:val="22"/>
          <w:szCs w:val="22"/>
          <w:lang w:val="en-GB"/>
        </w:rPr>
        <w:t>, member states</w:t>
      </w:r>
      <w:r w:rsidR="000B2FBC" w:rsidRPr="00570ACC">
        <w:rPr>
          <w:rFonts w:ascii="Corbel" w:hAnsi="Corbel" w:cs="Arial"/>
          <w:sz w:val="22"/>
          <w:szCs w:val="22"/>
          <w:lang w:val="en-GB"/>
        </w:rPr>
        <w:t xml:space="preserve"> adopted the </w:t>
      </w:r>
      <w:r w:rsidR="007D54E1">
        <w:rPr>
          <w:rFonts w:ascii="Corbel" w:hAnsi="Corbel" w:cs="Arial"/>
          <w:sz w:val="22"/>
          <w:szCs w:val="22"/>
          <w:lang w:val="en-GB"/>
        </w:rPr>
        <w:t>g</w:t>
      </w:r>
      <w:r w:rsidR="000B2FBC" w:rsidRPr="00570ACC">
        <w:rPr>
          <w:rFonts w:ascii="Corbel" w:hAnsi="Corbel" w:cs="Arial"/>
          <w:sz w:val="22"/>
          <w:szCs w:val="22"/>
          <w:lang w:val="en-GB"/>
        </w:rPr>
        <w:t xml:space="preserve">uidelines on the cumulation of </w:t>
      </w:r>
      <w:r w:rsidR="007D54E1">
        <w:rPr>
          <w:rFonts w:ascii="Corbel" w:hAnsi="Corbel" w:cs="Arial"/>
          <w:sz w:val="22"/>
          <w:szCs w:val="22"/>
          <w:lang w:val="en-GB"/>
        </w:rPr>
        <w:t>r</w:t>
      </w:r>
      <w:r w:rsidR="000B2FBC" w:rsidRPr="00570ACC">
        <w:rPr>
          <w:rFonts w:ascii="Corbel" w:hAnsi="Corbel" w:cs="Arial"/>
          <w:sz w:val="22"/>
          <w:szCs w:val="22"/>
          <w:lang w:val="en-GB"/>
        </w:rPr>
        <w:t>ules of origin in facilitating the movement of goods and enabling more complementarity among</w:t>
      </w:r>
      <w:r w:rsidR="00915137" w:rsidRPr="00570ACC">
        <w:rPr>
          <w:rFonts w:ascii="Corbel" w:hAnsi="Corbel" w:cs="Arial"/>
          <w:sz w:val="22"/>
          <w:szCs w:val="22"/>
          <w:lang w:val="en-GB"/>
        </w:rPr>
        <w:t xml:space="preserve"> the </w:t>
      </w:r>
      <w:r w:rsidR="000B2FBC" w:rsidRPr="00570ACC">
        <w:rPr>
          <w:rFonts w:ascii="Corbel" w:hAnsi="Corbel" w:cs="Arial"/>
          <w:sz w:val="22"/>
          <w:szCs w:val="22"/>
          <w:lang w:val="en-GB"/>
        </w:rPr>
        <w:t>production platform</w:t>
      </w:r>
      <w:r w:rsidR="00915137" w:rsidRPr="00570ACC">
        <w:rPr>
          <w:rFonts w:ascii="Corbel" w:hAnsi="Corbel" w:cs="Arial"/>
          <w:sz w:val="22"/>
          <w:szCs w:val="22"/>
          <w:lang w:val="en-GB"/>
        </w:rPr>
        <w:t xml:space="preserve">s of </w:t>
      </w:r>
      <w:r w:rsidR="007D54E1">
        <w:rPr>
          <w:rFonts w:ascii="Corbel" w:hAnsi="Corbel" w:cs="Arial"/>
          <w:sz w:val="22"/>
          <w:szCs w:val="22"/>
          <w:lang w:val="en-GB"/>
        </w:rPr>
        <w:t xml:space="preserve">Arab </w:t>
      </w:r>
      <w:r w:rsidR="00915137" w:rsidRPr="00570ACC">
        <w:rPr>
          <w:rFonts w:ascii="Corbel" w:hAnsi="Corbel" w:cs="Arial"/>
          <w:sz w:val="22"/>
          <w:szCs w:val="22"/>
          <w:lang w:val="en-GB"/>
        </w:rPr>
        <w:t>countri</w:t>
      </w:r>
      <w:r w:rsidR="00E94819" w:rsidRPr="00570ACC">
        <w:rPr>
          <w:rFonts w:ascii="Corbel" w:hAnsi="Corbel" w:cs="Arial"/>
          <w:sz w:val="22"/>
          <w:szCs w:val="22"/>
          <w:lang w:val="en-GB"/>
        </w:rPr>
        <w:t>es</w:t>
      </w:r>
      <w:r w:rsidR="000B2FBC" w:rsidRPr="00570ACC">
        <w:rPr>
          <w:rFonts w:ascii="Corbel" w:hAnsi="Corbel" w:cs="Arial"/>
          <w:sz w:val="22"/>
          <w:szCs w:val="22"/>
          <w:lang w:val="en-GB"/>
        </w:rPr>
        <w:t>.</w:t>
      </w:r>
      <w:bookmarkEnd w:id="58"/>
    </w:p>
    <w:p w14:paraId="4BB87A8D" w14:textId="7A7D600D" w:rsidR="000B2FBC" w:rsidRDefault="007D54E1" w:rsidP="000168EC">
      <w:pPr>
        <w:pStyle w:val="ListParagraph"/>
        <w:numPr>
          <w:ilvl w:val="0"/>
          <w:numId w:val="10"/>
        </w:numPr>
        <w:spacing w:line="276" w:lineRule="auto"/>
        <w:jc w:val="both"/>
        <w:outlineLvl w:val="0"/>
        <w:rPr>
          <w:rFonts w:ascii="Corbel" w:hAnsi="Corbel" w:cs="Arial"/>
          <w:sz w:val="22"/>
          <w:szCs w:val="22"/>
          <w:lang w:val="en-GB"/>
        </w:rPr>
      </w:pPr>
      <w:bookmarkStart w:id="59" w:name="_Toc103506600"/>
      <w:r>
        <w:rPr>
          <w:rFonts w:ascii="Corbel" w:hAnsi="Corbel" w:cs="Arial"/>
          <w:sz w:val="22"/>
          <w:szCs w:val="22"/>
          <w:lang w:val="en-GB"/>
        </w:rPr>
        <w:t>T</w:t>
      </w:r>
      <w:r w:rsidR="00E94819" w:rsidRPr="00570ACC">
        <w:rPr>
          <w:rFonts w:ascii="Corbel" w:hAnsi="Corbel" w:cs="Arial"/>
          <w:sz w:val="22"/>
          <w:szCs w:val="22"/>
          <w:lang w:val="en-GB"/>
        </w:rPr>
        <w:t>he State of Palestine bec</w:t>
      </w:r>
      <w:r w:rsidR="0091468A">
        <w:rPr>
          <w:rFonts w:ascii="Corbel" w:hAnsi="Corbel" w:cs="Arial"/>
          <w:sz w:val="22"/>
          <w:szCs w:val="22"/>
          <w:lang w:val="en-GB"/>
        </w:rPr>
        <w:t>a</w:t>
      </w:r>
      <w:r w:rsidR="00E94819" w:rsidRPr="00570ACC">
        <w:rPr>
          <w:rFonts w:ascii="Corbel" w:hAnsi="Corbel" w:cs="Arial"/>
          <w:sz w:val="22"/>
          <w:szCs w:val="22"/>
          <w:lang w:val="en-GB"/>
        </w:rPr>
        <w:t>me a contracting party to the Arab Agreement in trade in services.</w:t>
      </w:r>
      <w:bookmarkEnd w:id="59"/>
    </w:p>
    <w:p w14:paraId="30203655" w14:textId="587B25B3" w:rsidR="00EE0A0F" w:rsidRPr="00570ACC" w:rsidRDefault="00EE0A0F" w:rsidP="000168EC">
      <w:pPr>
        <w:pStyle w:val="ListParagraph"/>
        <w:numPr>
          <w:ilvl w:val="0"/>
          <w:numId w:val="10"/>
        </w:numPr>
        <w:tabs>
          <w:tab w:val="left" w:pos="7230"/>
        </w:tabs>
        <w:spacing w:line="276" w:lineRule="auto"/>
        <w:contextualSpacing w:val="0"/>
        <w:jc w:val="both"/>
        <w:outlineLvl w:val="0"/>
        <w:rPr>
          <w:rFonts w:ascii="Corbel" w:hAnsi="Corbel" w:cs="Arial"/>
          <w:sz w:val="22"/>
          <w:szCs w:val="22"/>
          <w:lang w:val="en-GB"/>
        </w:rPr>
      </w:pPr>
      <w:bookmarkStart w:id="60" w:name="_Toc103506601"/>
      <w:r>
        <w:rPr>
          <w:rFonts w:ascii="Corbel" w:hAnsi="Corbel" w:cs="Arial"/>
          <w:sz w:val="22"/>
          <w:szCs w:val="22"/>
          <w:lang w:val="en-GB"/>
        </w:rPr>
        <w:lastRenderedPageBreak/>
        <w:t xml:space="preserve">A joint UNDP-UNCTAD </w:t>
      </w:r>
      <w:r w:rsidR="009309DF">
        <w:rPr>
          <w:rFonts w:ascii="Corbel" w:hAnsi="Corbel" w:cs="Arial"/>
          <w:sz w:val="22"/>
          <w:szCs w:val="22"/>
          <w:lang w:val="en-GB"/>
        </w:rPr>
        <w:t xml:space="preserve">review of </w:t>
      </w:r>
      <w:r w:rsidRPr="00570ACC">
        <w:rPr>
          <w:rFonts w:ascii="Corbel" w:hAnsi="Corbel" w:cs="Arial"/>
          <w:sz w:val="22"/>
          <w:szCs w:val="22"/>
          <w:lang w:val="en-GB"/>
        </w:rPr>
        <w:t xml:space="preserve">trade policies in three services </w:t>
      </w:r>
      <w:r w:rsidR="00F25CEC" w:rsidRPr="00570ACC">
        <w:rPr>
          <w:rFonts w:ascii="Corbel" w:hAnsi="Corbel" w:cs="Arial"/>
          <w:sz w:val="22"/>
          <w:szCs w:val="22"/>
          <w:lang w:val="en-GB"/>
        </w:rPr>
        <w:t>sectors</w:t>
      </w:r>
      <w:r w:rsidRPr="00570ACC">
        <w:rPr>
          <w:rFonts w:ascii="Corbel" w:hAnsi="Corbel" w:cs="Arial"/>
          <w:sz w:val="22"/>
          <w:szCs w:val="22"/>
          <w:lang w:val="en-GB"/>
        </w:rPr>
        <w:t xml:space="preserve"> </w:t>
      </w:r>
      <w:r w:rsidR="009309DF">
        <w:rPr>
          <w:rFonts w:ascii="Corbel" w:hAnsi="Corbel" w:cs="Arial"/>
          <w:sz w:val="22"/>
          <w:szCs w:val="22"/>
          <w:lang w:val="en-GB"/>
        </w:rPr>
        <w:t>in Morocco is</w:t>
      </w:r>
      <w:r w:rsidRPr="00570ACC">
        <w:rPr>
          <w:rFonts w:ascii="Corbel" w:hAnsi="Corbel" w:cs="Arial"/>
          <w:sz w:val="22"/>
          <w:szCs w:val="22"/>
          <w:lang w:val="en-GB"/>
        </w:rPr>
        <w:t xml:space="preserve"> being used during the negotiations </w:t>
      </w:r>
      <w:r w:rsidR="005177E0">
        <w:rPr>
          <w:rFonts w:ascii="Corbel" w:hAnsi="Corbel" w:cs="Arial"/>
          <w:sz w:val="22"/>
          <w:szCs w:val="22"/>
          <w:lang w:val="en-GB"/>
        </w:rPr>
        <w:t>within both the pan-Arab and the pan-Africa free trade agreements</w:t>
      </w:r>
      <w:r w:rsidRPr="00570ACC">
        <w:rPr>
          <w:rFonts w:ascii="Corbel" w:hAnsi="Corbel" w:cs="Arial"/>
          <w:sz w:val="22"/>
          <w:szCs w:val="22"/>
          <w:lang w:val="en-GB"/>
        </w:rPr>
        <w:t>.</w:t>
      </w:r>
      <w:bookmarkEnd w:id="60"/>
    </w:p>
    <w:p w14:paraId="4F15A269" w14:textId="535EB761" w:rsidR="001319BF" w:rsidRPr="00570ACC" w:rsidRDefault="0091468A" w:rsidP="000168EC">
      <w:pPr>
        <w:pStyle w:val="ListParagraph"/>
        <w:numPr>
          <w:ilvl w:val="0"/>
          <w:numId w:val="10"/>
        </w:numPr>
        <w:spacing w:line="276" w:lineRule="auto"/>
        <w:jc w:val="both"/>
        <w:outlineLvl w:val="0"/>
        <w:rPr>
          <w:rFonts w:ascii="Corbel" w:hAnsi="Corbel" w:cs="Arial"/>
          <w:sz w:val="22"/>
          <w:szCs w:val="22"/>
          <w:lang w:val="en-GB"/>
        </w:rPr>
      </w:pPr>
      <w:bookmarkStart w:id="61" w:name="_Toc103506602"/>
      <w:r>
        <w:rPr>
          <w:rFonts w:ascii="Corbel" w:hAnsi="Corbel" w:cs="Arial"/>
          <w:sz w:val="22"/>
          <w:szCs w:val="22"/>
          <w:lang w:val="en-GB"/>
        </w:rPr>
        <w:t xml:space="preserve">The </w:t>
      </w:r>
      <w:r w:rsidR="001319BF" w:rsidRPr="00570ACC">
        <w:rPr>
          <w:rFonts w:ascii="Corbel" w:hAnsi="Corbel" w:cs="Arial"/>
          <w:sz w:val="22"/>
          <w:szCs w:val="22"/>
          <w:lang w:val="en-GB"/>
        </w:rPr>
        <w:t>Iraq</w:t>
      </w:r>
      <w:r>
        <w:rPr>
          <w:rFonts w:ascii="Corbel" w:hAnsi="Corbel" w:cs="Arial"/>
          <w:sz w:val="22"/>
          <w:szCs w:val="22"/>
          <w:lang w:val="en-GB"/>
        </w:rPr>
        <w:t>i</w:t>
      </w:r>
      <w:r w:rsidR="001319BF" w:rsidRPr="00570ACC">
        <w:rPr>
          <w:rFonts w:ascii="Corbel" w:hAnsi="Corbel" w:cs="Arial"/>
          <w:sz w:val="22"/>
          <w:szCs w:val="22"/>
          <w:lang w:val="en-GB"/>
        </w:rPr>
        <w:t xml:space="preserve"> national negotiatio</w:t>
      </w:r>
      <w:r w:rsidR="00EB385F">
        <w:rPr>
          <w:rFonts w:ascii="Corbel" w:hAnsi="Corbel" w:cs="Arial"/>
          <w:sz w:val="22"/>
          <w:szCs w:val="22"/>
          <w:lang w:val="en-GB"/>
        </w:rPr>
        <w:t>n</w:t>
      </w:r>
      <w:r w:rsidR="001319BF" w:rsidRPr="00570ACC">
        <w:rPr>
          <w:rFonts w:ascii="Corbel" w:hAnsi="Corbel" w:cs="Arial"/>
          <w:sz w:val="22"/>
          <w:szCs w:val="22"/>
          <w:lang w:val="en-GB"/>
        </w:rPr>
        <w:t xml:space="preserve"> team</w:t>
      </w:r>
      <w:r w:rsidR="00EB385F">
        <w:rPr>
          <w:rFonts w:ascii="Corbel" w:hAnsi="Corbel" w:cs="Arial"/>
          <w:sz w:val="22"/>
          <w:szCs w:val="22"/>
          <w:lang w:val="en-GB"/>
        </w:rPr>
        <w:t xml:space="preserve"> is ready to negotiate</w:t>
      </w:r>
      <w:r w:rsidR="001319BF" w:rsidRPr="00570ACC">
        <w:rPr>
          <w:rFonts w:ascii="Corbel" w:hAnsi="Corbel" w:cs="Arial"/>
          <w:sz w:val="22"/>
          <w:szCs w:val="22"/>
          <w:lang w:val="en-GB"/>
        </w:rPr>
        <w:t xml:space="preserve"> the membership </w:t>
      </w:r>
      <w:r w:rsidR="00EB385F">
        <w:rPr>
          <w:rFonts w:ascii="Corbel" w:hAnsi="Corbel" w:cs="Arial"/>
          <w:sz w:val="22"/>
          <w:szCs w:val="22"/>
          <w:lang w:val="en-GB"/>
        </w:rPr>
        <w:t>in</w:t>
      </w:r>
      <w:r w:rsidR="001319BF" w:rsidRPr="00570ACC">
        <w:rPr>
          <w:rFonts w:ascii="Corbel" w:hAnsi="Corbel" w:cs="Arial"/>
          <w:sz w:val="22"/>
          <w:szCs w:val="22"/>
          <w:lang w:val="en-GB"/>
        </w:rPr>
        <w:t xml:space="preserve"> the World Trade Organization and in </w:t>
      </w:r>
      <w:r w:rsidR="00EB385F">
        <w:rPr>
          <w:rFonts w:ascii="Corbel" w:hAnsi="Corbel" w:cs="Arial"/>
          <w:sz w:val="22"/>
          <w:szCs w:val="22"/>
          <w:lang w:val="en-GB"/>
        </w:rPr>
        <w:t xml:space="preserve">the Arab agreement on </w:t>
      </w:r>
      <w:r w:rsidR="001319BF" w:rsidRPr="00570ACC">
        <w:rPr>
          <w:rFonts w:ascii="Corbel" w:hAnsi="Corbel" w:cs="Arial"/>
          <w:sz w:val="22"/>
          <w:szCs w:val="22"/>
          <w:lang w:val="en-GB"/>
        </w:rPr>
        <w:t>trade in services.</w:t>
      </w:r>
      <w:bookmarkEnd w:id="61"/>
    </w:p>
    <w:p w14:paraId="3722A077" w14:textId="77777777" w:rsidR="0089109D" w:rsidRDefault="00D551B2" w:rsidP="000168EC">
      <w:pPr>
        <w:pStyle w:val="ListParagraph"/>
        <w:numPr>
          <w:ilvl w:val="0"/>
          <w:numId w:val="10"/>
        </w:numPr>
        <w:spacing w:line="276" w:lineRule="auto"/>
        <w:jc w:val="both"/>
        <w:outlineLvl w:val="0"/>
        <w:rPr>
          <w:rFonts w:ascii="Corbel" w:hAnsi="Corbel" w:cs="Arial"/>
          <w:sz w:val="22"/>
          <w:szCs w:val="22"/>
          <w:lang w:val="en-GB"/>
        </w:rPr>
      </w:pPr>
      <w:bookmarkStart w:id="62" w:name="_Toc103506603"/>
      <w:bookmarkStart w:id="63" w:name="_Hlk65070593"/>
      <w:r w:rsidRPr="00570ACC">
        <w:rPr>
          <w:rFonts w:ascii="Corbel" w:hAnsi="Corbel" w:cs="Arial"/>
          <w:sz w:val="22"/>
          <w:szCs w:val="22"/>
          <w:lang w:val="en-GB"/>
        </w:rPr>
        <w:t xml:space="preserve">In Jordan, </w:t>
      </w:r>
      <w:r w:rsidR="00C81F9E" w:rsidRPr="00570ACC">
        <w:rPr>
          <w:rFonts w:ascii="Corbel" w:hAnsi="Corbel" w:cs="Arial"/>
          <w:sz w:val="22"/>
          <w:szCs w:val="22"/>
          <w:lang w:val="en-GB"/>
        </w:rPr>
        <w:t>the introduction of the pre-arrival clearance</w:t>
      </w:r>
      <w:r w:rsidR="00ED3161" w:rsidRPr="00570ACC">
        <w:rPr>
          <w:rFonts w:ascii="Corbel" w:hAnsi="Corbel" w:cs="Arial"/>
          <w:sz w:val="22"/>
          <w:szCs w:val="22"/>
          <w:lang w:val="en-GB"/>
        </w:rPr>
        <w:t xml:space="preserve"> of </w:t>
      </w:r>
      <w:r w:rsidRPr="00570ACC">
        <w:rPr>
          <w:rFonts w:ascii="Corbel" w:hAnsi="Corbel" w:cs="Arial"/>
          <w:sz w:val="22"/>
          <w:szCs w:val="22"/>
          <w:lang w:val="en-GB"/>
        </w:rPr>
        <w:t xml:space="preserve">international </w:t>
      </w:r>
      <w:r w:rsidR="00ED3161" w:rsidRPr="00570ACC">
        <w:rPr>
          <w:rFonts w:ascii="Corbel" w:hAnsi="Corbel" w:cs="Arial"/>
          <w:sz w:val="22"/>
          <w:szCs w:val="22"/>
          <w:lang w:val="en-GB"/>
        </w:rPr>
        <w:t xml:space="preserve">shipments </w:t>
      </w:r>
      <w:r w:rsidR="00AF2A25">
        <w:rPr>
          <w:rFonts w:ascii="Corbel" w:hAnsi="Corbel" w:cs="Arial"/>
          <w:sz w:val="22"/>
          <w:szCs w:val="22"/>
          <w:lang w:val="en-GB"/>
        </w:rPr>
        <w:t xml:space="preserve">expedited and reduced the cost of clearance procedures, </w:t>
      </w:r>
      <w:r w:rsidR="00E94819" w:rsidRPr="00570ACC">
        <w:rPr>
          <w:rFonts w:ascii="Corbel" w:hAnsi="Corbel" w:cs="Arial"/>
          <w:sz w:val="22"/>
          <w:szCs w:val="22"/>
          <w:lang w:val="en-GB"/>
        </w:rPr>
        <w:t>enhanc</w:t>
      </w:r>
      <w:r w:rsidR="00AF2A25">
        <w:rPr>
          <w:rFonts w:ascii="Corbel" w:hAnsi="Corbel" w:cs="Arial"/>
          <w:sz w:val="22"/>
          <w:szCs w:val="22"/>
          <w:lang w:val="en-GB"/>
        </w:rPr>
        <w:t>ing</w:t>
      </w:r>
      <w:r w:rsidR="00E94819" w:rsidRPr="00570ACC">
        <w:rPr>
          <w:rFonts w:ascii="Corbel" w:hAnsi="Corbel" w:cs="Arial"/>
          <w:sz w:val="22"/>
          <w:szCs w:val="22"/>
          <w:lang w:val="en-GB"/>
        </w:rPr>
        <w:t xml:space="preserve"> the competitiveness of </w:t>
      </w:r>
      <w:r w:rsidR="001D5BFE" w:rsidRPr="00570ACC">
        <w:rPr>
          <w:rFonts w:ascii="Corbel" w:hAnsi="Corbel" w:cs="Arial"/>
          <w:sz w:val="22"/>
          <w:szCs w:val="22"/>
          <w:lang w:val="en-GB"/>
        </w:rPr>
        <w:t>the Aqaba port and Jordan.</w:t>
      </w:r>
      <w:r w:rsidR="00E94819" w:rsidRPr="00570ACC">
        <w:rPr>
          <w:rFonts w:ascii="Corbel" w:hAnsi="Corbel" w:cs="Arial"/>
          <w:sz w:val="22"/>
          <w:szCs w:val="22"/>
          <w:lang w:val="en-GB"/>
        </w:rPr>
        <w:t xml:space="preserve"> </w:t>
      </w:r>
      <w:r w:rsidR="00FC7B80">
        <w:rPr>
          <w:rFonts w:ascii="Corbel" w:hAnsi="Corbel" w:cs="Arial"/>
          <w:sz w:val="22"/>
          <w:szCs w:val="22"/>
          <w:lang w:val="en-GB"/>
        </w:rPr>
        <w:t>Applying international good practices in</w:t>
      </w:r>
      <w:r w:rsidR="001D5BFE" w:rsidRPr="00570ACC">
        <w:rPr>
          <w:rFonts w:ascii="Corbel" w:hAnsi="Corbel" w:cs="Arial"/>
          <w:sz w:val="22"/>
          <w:szCs w:val="22"/>
          <w:lang w:val="en-GB"/>
        </w:rPr>
        <w:t xml:space="preserve"> the operations of a national single window</w:t>
      </w:r>
      <w:r w:rsidR="00FC7B80">
        <w:rPr>
          <w:rFonts w:ascii="Corbel" w:hAnsi="Corbel" w:cs="Arial"/>
          <w:sz w:val="22"/>
          <w:szCs w:val="22"/>
          <w:lang w:val="en-GB"/>
        </w:rPr>
        <w:t>,</w:t>
      </w:r>
      <w:r w:rsidR="00F053B6">
        <w:rPr>
          <w:rFonts w:ascii="Corbel" w:hAnsi="Corbel" w:cs="Arial"/>
          <w:sz w:val="22"/>
          <w:szCs w:val="22"/>
          <w:lang w:val="en-GB"/>
        </w:rPr>
        <w:t xml:space="preserve"> a digital licencing hub was operationalized to streamline and</w:t>
      </w:r>
      <w:r w:rsidR="001D5BFE" w:rsidRPr="00570ACC">
        <w:rPr>
          <w:rFonts w:ascii="Corbel" w:hAnsi="Corbel" w:cs="Arial"/>
          <w:sz w:val="22"/>
          <w:szCs w:val="22"/>
          <w:lang w:val="en-GB"/>
        </w:rPr>
        <w:t xml:space="preserve"> enhance management practices of Jordanian agencies </w:t>
      </w:r>
      <w:r w:rsidR="0089109D">
        <w:rPr>
          <w:rFonts w:ascii="Corbel" w:hAnsi="Corbel" w:cs="Arial"/>
          <w:sz w:val="22"/>
          <w:szCs w:val="22"/>
          <w:lang w:val="en-GB"/>
        </w:rPr>
        <w:t>issuing import and export licences.</w:t>
      </w:r>
      <w:bookmarkEnd w:id="62"/>
    </w:p>
    <w:p w14:paraId="2036AAF9" w14:textId="606C2EFE" w:rsidR="003151DD" w:rsidRPr="00570ACC" w:rsidRDefault="0089109D" w:rsidP="000168EC">
      <w:pPr>
        <w:pStyle w:val="ListParagraph"/>
        <w:numPr>
          <w:ilvl w:val="0"/>
          <w:numId w:val="10"/>
        </w:numPr>
        <w:spacing w:line="276" w:lineRule="auto"/>
        <w:jc w:val="both"/>
        <w:outlineLvl w:val="0"/>
        <w:rPr>
          <w:rFonts w:ascii="Corbel" w:hAnsi="Corbel" w:cs="Arial"/>
          <w:sz w:val="22"/>
          <w:szCs w:val="22"/>
          <w:lang w:val="en-GB"/>
        </w:rPr>
      </w:pPr>
      <w:bookmarkStart w:id="64" w:name="_Toc103506604"/>
      <w:bookmarkEnd w:id="63"/>
      <w:r w:rsidRPr="4F6DD0A6">
        <w:rPr>
          <w:rFonts w:ascii="Corbel" w:hAnsi="Corbel" w:cs="Arial"/>
          <w:sz w:val="22"/>
          <w:szCs w:val="22"/>
          <w:lang w:val="en-GB"/>
        </w:rPr>
        <w:t>The</w:t>
      </w:r>
      <w:r w:rsidR="00C81F9E" w:rsidRPr="4F6DD0A6">
        <w:rPr>
          <w:rFonts w:ascii="Corbel" w:hAnsi="Corbel" w:cs="Arial"/>
          <w:sz w:val="22"/>
          <w:szCs w:val="22"/>
          <w:lang w:val="en-GB"/>
        </w:rPr>
        <w:t xml:space="preserve"> challenges posed by Covid-19</w:t>
      </w:r>
      <w:r w:rsidR="00D551B2" w:rsidRPr="4F6DD0A6">
        <w:rPr>
          <w:rFonts w:ascii="Corbel" w:hAnsi="Corbel" w:cs="Arial"/>
          <w:sz w:val="22"/>
          <w:szCs w:val="22"/>
          <w:lang w:val="en-GB"/>
        </w:rPr>
        <w:t xml:space="preserve"> </w:t>
      </w:r>
      <w:r w:rsidR="0030436B" w:rsidRPr="4F6DD0A6">
        <w:rPr>
          <w:rFonts w:ascii="Corbel" w:hAnsi="Corbel" w:cs="Arial"/>
          <w:sz w:val="22"/>
          <w:szCs w:val="22"/>
          <w:lang w:val="en-GB"/>
        </w:rPr>
        <w:t xml:space="preserve">triggered </w:t>
      </w:r>
      <w:r w:rsidR="00D551B2" w:rsidRPr="4F6DD0A6">
        <w:rPr>
          <w:rFonts w:ascii="Corbel" w:hAnsi="Corbel" w:cs="Arial"/>
          <w:sz w:val="22"/>
          <w:szCs w:val="22"/>
          <w:lang w:val="en-GB"/>
        </w:rPr>
        <w:t>several countries</w:t>
      </w:r>
      <w:r w:rsidR="0030436B" w:rsidRPr="4F6DD0A6">
        <w:rPr>
          <w:rFonts w:ascii="Corbel" w:hAnsi="Corbel" w:cs="Arial"/>
          <w:sz w:val="22"/>
          <w:szCs w:val="22"/>
          <w:lang w:val="en-GB"/>
        </w:rPr>
        <w:t xml:space="preserve"> to</w:t>
      </w:r>
      <w:r w:rsidR="00D551B2" w:rsidRPr="4F6DD0A6">
        <w:rPr>
          <w:rFonts w:ascii="Corbel" w:hAnsi="Corbel" w:cs="Arial"/>
          <w:sz w:val="22"/>
          <w:szCs w:val="22"/>
          <w:lang w:val="en-GB"/>
        </w:rPr>
        <w:t xml:space="preserve"> step up </w:t>
      </w:r>
      <w:r w:rsidR="0030436B" w:rsidRPr="4F6DD0A6">
        <w:rPr>
          <w:rFonts w:ascii="Corbel" w:hAnsi="Corbel" w:cs="Arial"/>
          <w:sz w:val="22"/>
          <w:szCs w:val="22"/>
          <w:lang w:val="en-GB"/>
        </w:rPr>
        <w:t>the</w:t>
      </w:r>
      <w:r w:rsidR="00D551B2" w:rsidRPr="4F6DD0A6">
        <w:rPr>
          <w:rFonts w:ascii="Corbel" w:hAnsi="Corbel" w:cs="Arial"/>
          <w:sz w:val="22"/>
          <w:szCs w:val="22"/>
          <w:lang w:val="en-GB"/>
        </w:rPr>
        <w:t xml:space="preserve"> adoption of</w:t>
      </w:r>
      <w:r w:rsidR="00E47B2A" w:rsidRPr="4F6DD0A6">
        <w:rPr>
          <w:rFonts w:ascii="Corbel" w:hAnsi="Corbel" w:cs="Arial"/>
          <w:sz w:val="22"/>
          <w:szCs w:val="22"/>
          <w:lang w:val="en-GB"/>
        </w:rPr>
        <w:t xml:space="preserve"> digitalized applications </w:t>
      </w:r>
      <w:r w:rsidR="00D551B2" w:rsidRPr="4F6DD0A6">
        <w:rPr>
          <w:rFonts w:ascii="Corbel" w:hAnsi="Corbel" w:cs="Arial"/>
          <w:sz w:val="22"/>
          <w:szCs w:val="22"/>
          <w:lang w:val="en-GB"/>
        </w:rPr>
        <w:t>to facilitate trade</w:t>
      </w:r>
      <w:r w:rsidR="00800798" w:rsidRPr="4F6DD0A6">
        <w:rPr>
          <w:rFonts w:ascii="Corbel" w:hAnsi="Corbel" w:cs="Arial"/>
          <w:sz w:val="22"/>
          <w:szCs w:val="22"/>
          <w:lang w:val="en-GB"/>
        </w:rPr>
        <w:t xml:space="preserve"> through electronic </w:t>
      </w:r>
      <w:r w:rsidR="00A932FF" w:rsidRPr="4F6DD0A6">
        <w:rPr>
          <w:rFonts w:ascii="Corbel" w:hAnsi="Corbel" w:cs="Arial"/>
          <w:sz w:val="22"/>
          <w:szCs w:val="22"/>
          <w:lang w:val="en-GB"/>
        </w:rPr>
        <w:t>transactions</w:t>
      </w:r>
      <w:r w:rsidR="0030436B" w:rsidRPr="4F6DD0A6">
        <w:rPr>
          <w:rFonts w:ascii="Corbel" w:hAnsi="Corbel" w:cs="Arial"/>
          <w:sz w:val="22"/>
          <w:szCs w:val="22"/>
          <w:lang w:val="en-GB"/>
        </w:rPr>
        <w:t>. For example</w:t>
      </w:r>
      <w:r w:rsidR="00EB06D0" w:rsidRPr="4F6DD0A6">
        <w:rPr>
          <w:rFonts w:ascii="Corbel" w:hAnsi="Corbel" w:cs="Arial"/>
          <w:sz w:val="22"/>
          <w:szCs w:val="22"/>
          <w:lang w:val="en-GB"/>
        </w:rPr>
        <w:t>,</w:t>
      </w:r>
      <w:r w:rsidR="00E47B2A" w:rsidRPr="4F6DD0A6">
        <w:rPr>
          <w:rFonts w:ascii="Corbel" w:hAnsi="Corbel" w:cs="Arial"/>
          <w:sz w:val="22"/>
          <w:szCs w:val="22"/>
          <w:lang w:val="en-GB"/>
        </w:rPr>
        <w:t xml:space="preserve"> </w:t>
      </w:r>
      <w:proofErr w:type="spellStart"/>
      <w:r w:rsidR="00E47B2A" w:rsidRPr="4F6DD0A6">
        <w:rPr>
          <w:rFonts w:ascii="Corbel" w:hAnsi="Corbel" w:cs="Arial"/>
          <w:sz w:val="22"/>
          <w:szCs w:val="22"/>
          <w:lang w:val="en-GB"/>
        </w:rPr>
        <w:t>PortNet</w:t>
      </w:r>
      <w:proofErr w:type="spellEnd"/>
      <w:r w:rsidR="00E47B2A" w:rsidRPr="4F6DD0A6">
        <w:rPr>
          <w:rFonts w:ascii="Corbel" w:hAnsi="Corbel" w:cs="Arial"/>
          <w:sz w:val="22"/>
          <w:szCs w:val="22"/>
          <w:lang w:val="en-GB"/>
        </w:rPr>
        <w:t xml:space="preserve"> </w:t>
      </w:r>
      <w:r w:rsidR="00A932FF" w:rsidRPr="4F6DD0A6">
        <w:rPr>
          <w:rFonts w:ascii="Corbel" w:hAnsi="Corbel" w:cs="Arial"/>
          <w:sz w:val="22"/>
          <w:szCs w:val="22"/>
          <w:lang w:val="en-GB"/>
        </w:rPr>
        <w:t xml:space="preserve">in Morocco </w:t>
      </w:r>
      <w:r w:rsidR="0051627E" w:rsidRPr="4F6DD0A6">
        <w:rPr>
          <w:rFonts w:ascii="Corbel" w:hAnsi="Corbel" w:cs="Arial"/>
          <w:sz w:val="22"/>
          <w:szCs w:val="22"/>
          <w:lang w:val="en-GB"/>
        </w:rPr>
        <w:t xml:space="preserve">implemented </w:t>
      </w:r>
      <w:r w:rsidR="00E47B2A" w:rsidRPr="4F6DD0A6">
        <w:rPr>
          <w:rFonts w:ascii="Corbel" w:hAnsi="Corbel" w:cs="Arial"/>
          <w:sz w:val="22"/>
          <w:szCs w:val="22"/>
          <w:lang w:val="en-GB"/>
        </w:rPr>
        <w:t>accelerate</w:t>
      </w:r>
      <w:r w:rsidR="00990089" w:rsidRPr="4F6DD0A6">
        <w:rPr>
          <w:rFonts w:ascii="Corbel" w:hAnsi="Corbel" w:cs="Arial"/>
          <w:sz w:val="22"/>
          <w:szCs w:val="22"/>
          <w:lang w:val="en-GB"/>
        </w:rPr>
        <w:t>d</w:t>
      </w:r>
      <w:r w:rsidR="00E47B2A" w:rsidRPr="4F6DD0A6">
        <w:rPr>
          <w:rFonts w:ascii="Corbel" w:hAnsi="Corbel" w:cs="Arial"/>
          <w:sz w:val="22"/>
          <w:szCs w:val="22"/>
          <w:lang w:val="en-GB"/>
        </w:rPr>
        <w:t xml:space="preserve"> electronic payment</w:t>
      </w:r>
      <w:r w:rsidR="0051627E" w:rsidRPr="4F6DD0A6">
        <w:rPr>
          <w:rFonts w:ascii="Corbel" w:hAnsi="Corbel" w:cs="Arial"/>
          <w:sz w:val="22"/>
          <w:szCs w:val="22"/>
          <w:lang w:val="en-GB"/>
        </w:rPr>
        <w:t>s</w:t>
      </w:r>
      <w:r w:rsidR="00990089" w:rsidRPr="4F6DD0A6">
        <w:rPr>
          <w:rFonts w:ascii="Corbel" w:hAnsi="Corbel" w:cs="Arial"/>
          <w:sz w:val="22"/>
          <w:szCs w:val="22"/>
          <w:lang w:val="en-GB"/>
        </w:rPr>
        <w:t xml:space="preserve"> procedures</w:t>
      </w:r>
      <w:r w:rsidR="00C81F9E" w:rsidRPr="4F6DD0A6">
        <w:rPr>
          <w:rFonts w:ascii="Corbel" w:hAnsi="Corbel" w:cs="Arial"/>
          <w:sz w:val="22"/>
          <w:szCs w:val="22"/>
          <w:lang w:val="en-GB"/>
        </w:rPr>
        <w:t>.</w:t>
      </w:r>
      <w:bookmarkEnd w:id="64"/>
      <w:r w:rsidR="00C81F9E" w:rsidRPr="4F6DD0A6">
        <w:rPr>
          <w:rFonts w:ascii="Corbel" w:hAnsi="Corbel" w:cs="Arial"/>
          <w:sz w:val="22"/>
          <w:szCs w:val="22"/>
          <w:lang w:val="en-GB"/>
        </w:rPr>
        <w:t xml:space="preserve"> </w:t>
      </w:r>
    </w:p>
    <w:p w14:paraId="0C023418" w14:textId="77777777" w:rsidR="00EB3022" w:rsidRPr="00136F1F" w:rsidRDefault="00821A75" w:rsidP="000168EC">
      <w:pPr>
        <w:pStyle w:val="ListParagraph"/>
        <w:numPr>
          <w:ilvl w:val="0"/>
          <w:numId w:val="10"/>
        </w:numPr>
        <w:spacing w:line="276" w:lineRule="auto"/>
        <w:jc w:val="both"/>
        <w:outlineLvl w:val="0"/>
        <w:rPr>
          <w:rFonts w:ascii="Corbel" w:hAnsi="Corbel" w:cs="Arial"/>
          <w:sz w:val="22"/>
          <w:szCs w:val="22"/>
          <w:lang w:val="en-GB"/>
        </w:rPr>
      </w:pPr>
      <w:bookmarkStart w:id="65" w:name="_Toc103506605"/>
      <w:r w:rsidRPr="00136F1F">
        <w:rPr>
          <w:rFonts w:ascii="Corbel" w:hAnsi="Corbel" w:cs="Arial"/>
          <w:sz w:val="22"/>
          <w:szCs w:val="22"/>
          <w:lang w:val="en-GB"/>
        </w:rPr>
        <w:t xml:space="preserve">In Lebanon and Morocco, guidelines </w:t>
      </w:r>
      <w:r w:rsidR="004C5F3B" w:rsidRPr="00136F1F">
        <w:rPr>
          <w:rFonts w:ascii="Corbel" w:hAnsi="Corbel" w:cs="Arial"/>
          <w:sz w:val="22"/>
          <w:szCs w:val="22"/>
          <w:lang w:val="en-GB"/>
        </w:rPr>
        <w:t>on</w:t>
      </w:r>
      <w:r w:rsidRPr="00136F1F">
        <w:rPr>
          <w:rFonts w:ascii="Corbel" w:hAnsi="Corbel" w:cs="Arial"/>
          <w:sz w:val="22"/>
          <w:szCs w:val="22"/>
          <w:lang w:val="en-GB"/>
        </w:rPr>
        <w:t xml:space="preserve"> </w:t>
      </w:r>
      <w:r w:rsidR="004C5F3B" w:rsidRPr="00136F1F">
        <w:rPr>
          <w:rFonts w:ascii="Corbel" w:hAnsi="Corbel" w:cs="Arial"/>
          <w:sz w:val="22"/>
          <w:szCs w:val="22"/>
          <w:lang w:val="en-GB"/>
        </w:rPr>
        <w:t>e</w:t>
      </w:r>
      <w:r w:rsidRPr="00136F1F">
        <w:rPr>
          <w:rFonts w:ascii="Corbel" w:hAnsi="Corbel" w:cs="Arial"/>
          <w:sz w:val="22"/>
          <w:szCs w:val="22"/>
          <w:lang w:val="en-GB"/>
        </w:rPr>
        <w:t>xport</w:t>
      </w:r>
      <w:r w:rsidR="004C5F3B" w:rsidRPr="00136F1F">
        <w:rPr>
          <w:rFonts w:ascii="Corbel" w:hAnsi="Corbel" w:cs="Arial"/>
          <w:sz w:val="22"/>
          <w:szCs w:val="22"/>
          <w:lang w:val="en-GB"/>
        </w:rPr>
        <w:t xml:space="preserve"> administrative</w:t>
      </w:r>
      <w:r w:rsidR="009D270E" w:rsidRPr="00136F1F">
        <w:rPr>
          <w:rFonts w:ascii="Corbel" w:hAnsi="Corbel" w:cs="Arial"/>
          <w:sz w:val="22"/>
          <w:szCs w:val="22"/>
          <w:lang w:val="en-GB"/>
        </w:rPr>
        <w:t xml:space="preserve"> and logistic</w:t>
      </w:r>
      <w:r w:rsidR="004C5F3B" w:rsidRPr="00136F1F">
        <w:rPr>
          <w:rFonts w:ascii="Corbel" w:hAnsi="Corbel" w:cs="Arial"/>
          <w:sz w:val="22"/>
          <w:szCs w:val="22"/>
          <w:lang w:val="en-GB"/>
        </w:rPr>
        <w:t xml:space="preserve"> procedure </w:t>
      </w:r>
      <w:r w:rsidR="009D270E" w:rsidRPr="00136F1F">
        <w:rPr>
          <w:rFonts w:ascii="Corbel" w:hAnsi="Corbel" w:cs="Arial"/>
          <w:sz w:val="22"/>
          <w:szCs w:val="22"/>
          <w:lang w:val="en-GB"/>
        </w:rPr>
        <w:t xml:space="preserve">were </w:t>
      </w:r>
      <w:r w:rsidR="004C5F3B" w:rsidRPr="00136F1F">
        <w:rPr>
          <w:rFonts w:ascii="Corbel" w:hAnsi="Corbel" w:cs="Arial"/>
          <w:sz w:val="22"/>
          <w:szCs w:val="22"/>
          <w:lang w:val="en-GB"/>
        </w:rPr>
        <w:t xml:space="preserve">finalized, informing </w:t>
      </w:r>
      <w:r w:rsidR="009D270E" w:rsidRPr="00136F1F">
        <w:rPr>
          <w:rFonts w:ascii="Corbel" w:hAnsi="Corbel" w:cs="Arial"/>
          <w:sz w:val="22"/>
          <w:szCs w:val="22"/>
          <w:lang w:val="en-GB"/>
        </w:rPr>
        <w:t>the Lebanese Roadmap for export promotion</w:t>
      </w:r>
      <w:r w:rsidR="003C194D" w:rsidRPr="00136F1F">
        <w:rPr>
          <w:rFonts w:ascii="Corbel" w:hAnsi="Corbel" w:cs="Arial"/>
          <w:sz w:val="22"/>
          <w:szCs w:val="22"/>
          <w:lang w:val="en-GB"/>
        </w:rPr>
        <w:t xml:space="preserve">. A pilot in both countries has shown approaches and challenged </w:t>
      </w:r>
      <w:r w:rsidR="00145023" w:rsidRPr="00136F1F">
        <w:rPr>
          <w:rFonts w:ascii="Corbel" w:hAnsi="Corbel" w:cs="Arial"/>
          <w:sz w:val="22"/>
          <w:szCs w:val="22"/>
          <w:lang w:val="en-GB"/>
        </w:rPr>
        <w:t>in facilitating export to the US market for SMEs and cooperatives.</w:t>
      </w:r>
      <w:bookmarkEnd w:id="65"/>
    </w:p>
    <w:p w14:paraId="6551B951" w14:textId="1C228B19" w:rsidR="004F3349" w:rsidRPr="00136F1F" w:rsidRDefault="00EB3022" w:rsidP="000168EC">
      <w:pPr>
        <w:pStyle w:val="ListParagraph"/>
        <w:numPr>
          <w:ilvl w:val="0"/>
          <w:numId w:val="10"/>
        </w:numPr>
        <w:spacing w:line="276" w:lineRule="auto"/>
        <w:jc w:val="both"/>
        <w:outlineLvl w:val="0"/>
        <w:rPr>
          <w:rFonts w:ascii="Corbel" w:hAnsi="Corbel" w:cs="Arial"/>
          <w:sz w:val="22"/>
          <w:szCs w:val="22"/>
          <w:lang w:val="en-GB"/>
        </w:rPr>
      </w:pPr>
      <w:bookmarkStart w:id="66" w:name="_Toc103506606"/>
      <w:r w:rsidRPr="00136F1F">
        <w:rPr>
          <w:rFonts w:ascii="Corbel" w:hAnsi="Corbel" w:cs="Arial"/>
          <w:sz w:val="22"/>
          <w:szCs w:val="22"/>
          <w:lang w:val="en-GB"/>
        </w:rPr>
        <w:t xml:space="preserve">Work undertaken at the on-set of the project to activate the trade corridors of </w:t>
      </w:r>
      <w:proofErr w:type="spellStart"/>
      <w:r w:rsidRPr="00136F1F">
        <w:rPr>
          <w:rFonts w:ascii="Corbel" w:hAnsi="Corbel" w:cs="Arial"/>
          <w:sz w:val="22"/>
          <w:szCs w:val="22"/>
          <w:lang w:val="en-GB"/>
        </w:rPr>
        <w:t>Nuweaibae</w:t>
      </w:r>
      <w:proofErr w:type="spellEnd"/>
      <w:r w:rsidRPr="00136F1F">
        <w:rPr>
          <w:rFonts w:ascii="Corbel" w:hAnsi="Corbel" w:cs="Arial"/>
          <w:sz w:val="22"/>
          <w:szCs w:val="22"/>
          <w:lang w:val="en-GB"/>
        </w:rPr>
        <w:t xml:space="preserve"> (Egypt) and Aqaba (Jordan) through the Egypt- Jordan Economic Cooperation was paused </w:t>
      </w:r>
      <w:r w:rsidR="00F3670D" w:rsidRPr="00136F1F">
        <w:rPr>
          <w:rFonts w:ascii="Corbel" w:hAnsi="Corbel" w:cs="Arial"/>
          <w:sz w:val="22"/>
          <w:szCs w:val="22"/>
          <w:lang w:val="en-GB"/>
        </w:rPr>
        <w:t>as</w:t>
      </w:r>
      <w:r w:rsidR="00812FC8" w:rsidRPr="00136F1F">
        <w:rPr>
          <w:rFonts w:ascii="Corbel" w:hAnsi="Corbel" w:cs="Arial"/>
          <w:sz w:val="22"/>
          <w:szCs w:val="22"/>
          <w:lang w:val="en-GB"/>
        </w:rPr>
        <w:t xml:space="preserve"> COVID-19</w:t>
      </w:r>
      <w:r w:rsidR="00FE13FB" w:rsidRPr="00136F1F">
        <w:rPr>
          <w:rFonts w:ascii="Corbel" w:hAnsi="Corbel" w:cs="Arial"/>
          <w:sz w:val="22"/>
          <w:szCs w:val="22"/>
          <w:lang w:val="en-GB"/>
        </w:rPr>
        <w:t xml:space="preserve"> restrictions</w:t>
      </w:r>
      <w:r w:rsidR="003151DD" w:rsidRPr="00136F1F">
        <w:rPr>
          <w:rFonts w:ascii="Corbel" w:hAnsi="Corbel" w:cs="Arial"/>
          <w:sz w:val="22"/>
          <w:szCs w:val="22"/>
          <w:lang w:val="en-GB"/>
        </w:rPr>
        <w:t xml:space="preserve"> </w:t>
      </w:r>
      <w:r w:rsidR="00F3670D" w:rsidRPr="00136F1F">
        <w:rPr>
          <w:rFonts w:ascii="Corbel" w:hAnsi="Corbel" w:cs="Arial"/>
          <w:sz w:val="22"/>
          <w:szCs w:val="22"/>
          <w:lang w:val="en-GB"/>
        </w:rPr>
        <w:t>limited in-person consultation</w:t>
      </w:r>
      <w:r w:rsidR="00340CA6" w:rsidRPr="00136F1F">
        <w:rPr>
          <w:rFonts w:ascii="Corbel" w:hAnsi="Corbel" w:cs="Arial"/>
          <w:sz w:val="22"/>
          <w:szCs w:val="22"/>
          <w:lang w:val="en-GB"/>
        </w:rPr>
        <w:t>s</w:t>
      </w:r>
      <w:r w:rsidR="00F3670D" w:rsidRPr="00136F1F">
        <w:rPr>
          <w:rFonts w:ascii="Corbel" w:hAnsi="Corbel" w:cs="Arial"/>
          <w:sz w:val="22"/>
          <w:szCs w:val="22"/>
          <w:lang w:val="en-GB"/>
        </w:rPr>
        <w:t xml:space="preserve"> and</w:t>
      </w:r>
      <w:r w:rsidR="003151DD" w:rsidRPr="00136F1F">
        <w:rPr>
          <w:rFonts w:ascii="Corbel" w:hAnsi="Corbel" w:cs="Arial"/>
          <w:sz w:val="22"/>
          <w:szCs w:val="22"/>
          <w:lang w:val="en-GB"/>
        </w:rPr>
        <w:t xml:space="preserve"> policy attention turned to efforts </w:t>
      </w:r>
      <w:r w:rsidR="00FD4D77" w:rsidRPr="00136F1F">
        <w:rPr>
          <w:rFonts w:ascii="Corbel" w:hAnsi="Corbel" w:cs="Arial"/>
          <w:sz w:val="22"/>
          <w:szCs w:val="22"/>
          <w:lang w:val="en-GB"/>
        </w:rPr>
        <w:t>for</w:t>
      </w:r>
      <w:r w:rsidR="003151DD" w:rsidRPr="00136F1F">
        <w:rPr>
          <w:rFonts w:ascii="Corbel" w:hAnsi="Corbel" w:cs="Arial"/>
          <w:sz w:val="22"/>
          <w:szCs w:val="22"/>
          <w:lang w:val="en-GB"/>
        </w:rPr>
        <w:t xml:space="preserve"> economic recovery</w:t>
      </w:r>
      <w:r w:rsidR="00FE13FB" w:rsidRPr="00136F1F">
        <w:rPr>
          <w:rFonts w:ascii="Corbel" w:hAnsi="Corbel" w:cs="Arial"/>
          <w:sz w:val="22"/>
          <w:szCs w:val="22"/>
          <w:lang w:val="en-GB"/>
        </w:rPr>
        <w:t xml:space="preserve">. </w:t>
      </w:r>
      <w:r w:rsidR="00340CA6" w:rsidRPr="00136F1F">
        <w:rPr>
          <w:rFonts w:ascii="Corbel" w:hAnsi="Corbel" w:cs="Arial"/>
          <w:sz w:val="22"/>
          <w:szCs w:val="22"/>
          <w:lang w:val="en-GB"/>
        </w:rPr>
        <w:t>Consultations need to be reactivated to move to the operationalization of the corridors.</w:t>
      </w:r>
      <w:bookmarkEnd w:id="66"/>
    </w:p>
    <w:p w14:paraId="0AE7056E" w14:textId="78DFB5D1" w:rsidR="4F6DD0A6" w:rsidRDefault="4F6DD0A6" w:rsidP="00AE059F">
      <w:pPr>
        <w:spacing w:line="276" w:lineRule="auto"/>
        <w:jc w:val="both"/>
        <w:outlineLvl w:val="0"/>
        <w:rPr>
          <w:rFonts w:ascii="Corbel" w:hAnsi="Corbel" w:cs="Arial"/>
          <w:b/>
          <w:bCs/>
          <w:sz w:val="22"/>
          <w:szCs w:val="22"/>
          <w:lang w:val="en-GB"/>
        </w:rPr>
      </w:pPr>
    </w:p>
    <w:tbl>
      <w:tblPr>
        <w:tblpPr w:leftFromText="180" w:rightFromText="180" w:vertAnchor="text" w:tblpXSpec="right" w:tblpY="1"/>
        <w:tblOverlap w:val="never"/>
        <w:tblW w:w="10168" w:type="dxa"/>
        <w:tblLayout w:type="fixed"/>
        <w:tblLook w:val="04A0" w:firstRow="1" w:lastRow="0" w:firstColumn="1" w:lastColumn="0" w:noHBand="0" w:noVBand="1"/>
      </w:tblPr>
      <w:tblGrid>
        <w:gridCol w:w="1271"/>
        <w:gridCol w:w="1418"/>
        <w:gridCol w:w="1276"/>
        <w:gridCol w:w="1134"/>
        <w:gridCol w:w="1701"/>
        <w:gridCol w:w="851"/>
        <w:gridCol w:w="2517"/>
      </w:tblGrid>
      <w:tr w:rsidR="00CF6835" w:rsidRPr="00570ACC" w14:paraId="0F50853C" w14:textId="77777777" w:rsidTr="00B833B7">
        <w:trPr>
          <w:trHeight w:val="440"/>
        </w:trPr>
        <w:tc>
          <w:tcPr>
            <w:tcW w:w="1271" w:type="dxa"/>
            <w:tcBorders>
              <w:top w:val="single" w:sz="4" w:space="0" w:color="auto"/>
              <w:left w:val="single" w:sz="4" w:space="0" w:color="auto"/>
              <w:bottom w:val="nil"/>
              <w:right w:val="single" w:sz="4" w:space="0" w:color="auto"/>
            </w:tcBorders>
            <w:shd w:val="clear" w:color="000000" w:fill="D8E4BC"/>
            <w:vAlign w:val="center"/>
            <w:hideMark/>
          </w:tcPr>
          <w:p w14:paraId="168BD20A" w14:textId="77777777" w:rsidR="00CF6835" w:rsidRPr="00570ACC" w:rsidRDefault="00CF6835" w:rsidP="00FE539C">
            <w:pPr>
              <w:rPr>
                <w:rFonts w:ascii="Corbel" w:eastAsia="Times New Roman" w:hAnsi="Corbel"/>
                <w:b/>
                <w:bCs/>
                <w:color w:val="000000"/>
                <w:sz w:val="19"/>
                <w:szCs w:val="19"/>
                <w:lang w:val="en-GB" w:eastAsia="en-GB"/>
              </w:rPr>
            </w:pPr>
            <w:r w:rsidRPr="00570ACC">
              <w:rPr>
                <w:rFonts w:ascii="Corbel" w:eastAsia="Times New Roman" w:hAnsi="Corbel"/>
                <w:b/>
                <w:bCs/>
                <w:color w:val="000000"/>
                <w:sz w:val="19"/>
                <w:szCs w:val="19"/>
                <w:lang w:val="en-GB" w:eastAsia="en-GB"/>
              </w:rPr>
              <w:t>Project Outcome</w:t>
            </w:r>
          </w:p>
        </w:tc>
        <w:tc>
          <w:tcPr>
            <w:tcW w:w="1418" w:type="dxa"/>
            <w:tcBorders>
              <w:top w:val="single" w:sz="4" w:space="0" w:color="auto"/>
              <w:left w:val="nil"/>
              <w:bottom w:val="nil"/>
              <w:right w:val="single" w:sz="4" w:space="0" w:color="auto"/>
            </w:tcBorders>
            <w:shd w:val="clear" w:color="000000" w:fill="D8E4BC"/>
            <w:vAlign w:val="center"/>
            <w:hideMark/>
          </w:tcPr>
          <w:p w14:paraId="0D057FA9" w14:textId="77777777" w:rsidR="00CF6835" w:rsidRPr="00570ACC" w:rsidRDefault="00CF6835" w:rsidP="00FE539C">
            <w:pPr>
              <w:rPr>
                <w:rFonts w:ascii="Corbel" w:eastAsia="Times New Roman" w:hAnsi="Corbel"/>
                <w:b/>
                <w:bCs/>
                <w:color w:val="000000"/>
                <w:sz w:val="19"/>
                <w:szCs w:val="19"/>
                <w:lang w:val="en-GB" w:eastAsia="en-GB"/>
              </w:rPr>
            </w:pPr>
            <w:r w:rsidRPr="00570ACC">
              <w:rPr>
                <w:rFonts w:ascii="Corbel" w:eastAsia="Times New Roman" w:hAnsi="Corbel"/>
                <w:b/>
                <w:bCs/>
                <w:color w:val="000000"/>
                <w:sz w:val="19"/>
                <w:szCs w:val="19"/>
                <w:lang w:val="en-GB" w:eastAsia="en-GB"/>
              </w:rPr>
              <w:t>Project Outcome indicators</w:t>
            </w:r>
          </w:p>
        </w:tc>
        <w:tc>
          <w:tcPr>
            <w:tcW w:w="1276" w:type="dxa"/>
            <w:tcBorders>
              <w:top w:val="single" w:sz="4" w:space="0" w:color="auto"/>
              <w:left w:val="nil"/>
              <w:bottom w:val="nil"/>
              <w:right w:val="single" w:sz="4" w:space="0" w:color="auto"/>
            </w:tcBorders>
            <w:shd w:val="clear" w:color="000000" w:fill="D8E4BC"/>
            <w:vAlign w:val="center"/>
            <w:hideMark/>
          </w:tcPr>
          <w:p w14:paraId="26FF2873" w14:textId="77777777" w:rsidR="00CF6835" w:rsidRPr="00570ACC" w:rsidRDefault="00CF6835" w:rsidP="00FE539C">
            <w:pPr>
              <w:rPr>
                <w:rFonts w:ascii="Corbel" w:eastAsia="Times New Roman" w:hAnsi="Corbel"/>
                <w:b/>
                <w:bCs/>
                <w:color w:val="000000"/>
                <w:sz w:val="19"/>
                <w:szCs w:val="19"/>
                <w:lang w:val="en-GB" w:eastAsia="en-GB"/>
              </w:rPr>
            </w:pPr>
            <w:r w:rsidRPr="00570ACC">
              <w:rPr>
                <w:rFonts w:ascii="Corbel" w:eastAsia="Times New Roman" w:hAnsi="Corbel"/>
                <w:b/>
                <w:bCs/>
                <w:color w:val="000000"/>
                <w:sz w:val="19"/>
                <w:szCs w:val="19"/>
                <w:lang w:val="en-GB" w:eastAsia="en-GB"/>
              </w:rPr>
              <w:t>Baseline</w:t>
            </w:r>
          </w:p>
        </w:tc>
        <w:tc>
          <w:tcPr>
            <w:tcW w:w="1134" w:type="dxa"/>
            <w:tcBorders>
              <w:top w:val="single" w:sz="4" w:space="0" w:color="auto"/>
              <w:left w:val="nil"/>
              <w:bottom w:val="nil"/>
              <w:right w:val="single" w:sz="4" w:space="0" w:color="auto"/>
            </w:tcBorders>
            <w:shd w:val="clear" w:color="000000" w:fill="D8E4BC"/>
            <w:vAlign w:val="center"/>
            <w:hideMark/>
          </w:tcPr>
          <w:p w14:paraId="25BF8425" w14:textId="5DA736B6" w:rsidR="00CF6835" w:rsidRPr="00570ACC" w:rsidRDefault="00CF6835" w:rsidP="00FE539C">
            <w:pPr>
              <w:rPr>
                <w:rFonts w:ascii="Corbel" w:eastAsia="Times New Roman" w:hAnsi="Corbel"/>
                <w:b/>
                <w:bCs/>
                <w:color w:val="000000"/>
                <w:sz w:val="19"/>
                <w:szCs w:val="19"/>
                <w:lang w:val="en-GB" w:eastAsia="en-GB"/>
              </w:rPr>
            </w:pPr>
            <w:r w:rsidRPr="00570ACC">
              <w:rPr>
                <w:rFonts w:ascii="Corbel" w:eastAsia="Times New Roman" w:hAnsi="Corbel"/>
                <w:b/>
                <w:bCs/>
                <w:color w:val="000000"/>
                <w:sz w:val="19"/>
                <w:szCs w:val="19"/>
                <w:lang w:val="en-GB" w:eastAsia="en-GB"/>
              </w:rPr>
              <w:t>Target (20</w:t>
            </w:r>
            <w:r w:rsidR="004F3349">
              <w:rPr>
                <w:rFonts w:ascii="Corbel" w:eastAsia="Times New Roman" w:hAnsi="Corbel"/>
                <w:b/>
                <w:bCs/>
                <w:color w:val="000000"/>
                <w:sz w:val="19"/>
                <w:szCs w:val="19"/>
                <w:lang w:val="en-GB" w:eastAsia="en-GB"/>
              </w:rPr>
              <w:t>20</w:t>
            </w:r>
            <w:r w:rsidRPr="00570ACC">
              <w:rPr>
                <w:rFonts w:ascii="Corbel" w:eastAsia="Times New Roman" w:hAnsi="Corbel"/>
                <w:b/>
                <w:bCs/>
                <w:color w:val="000000"/>
                <w:sz w:val="19"/>
                <w:szCs w:val="19"/>
                <w:lang w:val="en-GB" w:eastAsia="en-GB"/>
              </w:rPr>
              <w:t>)</w:t>
            </w:r>
          </w:p>
        </w:tc>
        <w:tc>
          <w:tcPr>
            <w:tcW w:w="1701" w:type="dxa"/>
            <w:tcBorders>
              <w:top w:val="single" w:sz="4" w:space="0" w:color="auto"/>
              <w:left w:val="nil"/>
              <w:bottom w:val="nil"/>
              <w:right w:val="single" w:sz="4" w:space="0" w:color="auto"/>
            </w:tcBorders>
            <w:shd w:val="clear" w:color="000000" w:fill="D8E4BC"/>
            <w:vAlign w:val="center"/>
            <w:hideMark/>
          </w:tcPr>
          <w:p w14:paraId="3F3D340B" w14:textId="27397F59" w:rsidR="00CF6835" w:rsidRPr="00570ACC" w:rsidRDefault="00CF6835" w:rsidP="00FE539C">
            <w:pPr>
              <w:rPr>
                <w:rFonts w:ascii="Corbel" w:eastAsia="Times New Roman" w:hAnsi="Corbel"/>
                <w:b/>
                <w:bCs/>
                <w:color w:val="000000"/>
                <w:sz w:val="19"/>
                <w:szCs w:val="19"/>
                <w:lang w:val="en-GB" w:eastAsia="en-GB"/>
              </w:rPr>
            </w:pPr>
            <w:r w:rsidRPr="00570ACC">
              <w:rPr>
                <w:rFonts w:ascii="Corbel" w:eastAsia="Times New Roman" w:hAnsi="Corbel"/>
                <w:b/>
                <w:bCs/>
                <w:color w:val="000000"/>
                <w:sz w:val="19"/>
                <w:szCs w:val="19"/>
                <w:lang w:val="en-GB" w:eastAsia="en-GB"/>
              </w:rPr>
              <w:t>Actual (20</w:t>
            </w:r>
            <w:r w:rsidR="00737951">
              <w:rPr>
                <w:rFonts w:ascii="Corbel" w:eastAsia="Times New Roman" w:hAnsi="Corbel"/>
                <w:b/>
                <w:bCs/>
                <w:color w:val="000000"/>
                <w:sz w:val="19"/>
                <w:szCs w:val="19"/>
                <w:lang w:val="en-GB" w:eastAsia="en-GB"/>
              </w:rPr>
              <w:t>20</w:t>
            </w:r>
            <w:r w:rsidRPr="00570ACC">
              <w:rPr>
                <w:rFonts w:ascii="Corbel" w:eastAsia="Times New Roman" w:hAnsi="Corbel"/>
                <w:b/>
                <w:bCs/>
                <w:color w:val="000000"/>
                <w:sz w:val="19"/>
                <w:szCs w:val="19"/>
                <w:lang w:val="en-GB" w:eastAsia="en-GB"/>
              </w:rPr>
              <w:t>)</w:t>
            </w:r>
          </w:p>
        </w:tc>
        <w:tc>
          <w:tcPr>
            <w:tcW w:w="851" w:type="dxa"/>
            <w:tcBorders>
              <w:top w:val="single" w:sz="4" w:space="0" w:color="auto"/>
              <w:left w:val="nil"/>
              <w:bottom w:val="nil"/>
              <w:right w:val="single" w:sz="4" w:space="0" w:color="auto"/>
            </w:tcBorders>
            <w:shd w:val="clear" w:color="000000" w:fill="D8E4BC"/>
            <w:vAlign w:val="center"/>
            <w:hideMark/>
          </w:tcPr>
          <w:p w14:paraId="2A02511B" w14:textId="3D143729" w:rsidR="00CF6835" w:rsidRPr="00570ACC" w:rsidRDefault="00CF6835" w:rsidP="00FE539C">
            <w:pPr>
              <w:rPr>
                <w:rFonts w:ascii="Corbel" w:eastAsia="Times New Roman" w:hAnsi="Corbel"/>
                <w:b/>
                <w:bCs/>
                <w:color w:val="000000"/>
                <w:sz w:val="19"/>
                <w:szCs w:val="19"/>
                <w:lang w:val="en-GB" w:eastAsia="en-GB"/>
              </w:rPr>
            </w:pPr>
            <w:r w:rsidRPr="00570ACC">
              <w:rPr>
                <w:rFonts w:ascii="Corbel" w:eastAsia="Times New Roman" w:hAnsi="Corbel"/>
                <w:b/>
                <w:bCs/>
                <w:color w:val="000000"/>
                <w:sz w:val="19"/>
                <w:szCs w:val="19"/>
                <w:lang w:val="en-GB" w:eastAsia="en-GB"/>
              </w:rPr>
              <w:t>Target (202</w:t>
            </w:r>
            <w:r w:rsidR="00737951">
              <w:rPr>
                <w:rFonts w:ascii="Corbel" w:eastAsia="Times New Roman" w:hAnsi="Corbel"/>
                <w:b/>
                <w:bCs/>
                <w:color w:val="000000"/>
                <w:sz w:val="19"/>
                <w:szCs w:val="19"/>
                <w:lang w:val="en-GB" w:eastAsia="en-GB"/>
              </w:rPr>
              <w:t>2</w:t>
            </w:r>
            <w:r w:rsidRPr="00570ACC">
              <w:rPr>
                <w:rFonts w:ascii="Corbel" w:eastAsia="Times New Roman" w:hAnsi="Corbel"/>
                <w:b/>
                <w:bCs/>
                <w:color w:val="000000"/>
                <w:sz w:val="19"/>
                <w:szCs w:val="19"/>
                <w:lang w:val="en-GB" w:eastAsia="en-GB"/>
              </w:rPr>
              <w:t>)</w:t>
            </w:r>
          </w:p>
        </w:tc>
        <w:tc>
          <w:tcPr>
            <w:tcW w:w="2517" w:type="dxa"/>
            <w:tcBorders>
              <w:top w:val="single" w:sz="4" w:space="0" w:color="auto"/>
              <w:left w:val="nil"/>
              <w:bottom w:val="nil"/>
              <w:right w:val="single" w:sz="4" w:space="0" w:color="auto"/>
            </w:tcBorders>
            <w:shd w:val="clear" w:color="000000" w:fill="D8E4BC"/>
            <w:vAlign w:val="center"/>
            <w:hideMark/>
          </w:tcPr>
          <w:p w14:paraId="35EE3ABF" w14:textId="29210B30" w:rsidR="00CF6835" w:rsidRPr="00570ACC" w:rsidRDefault="00CF6835" w:rsidP="00FE539C">
            <w:pPr>
              <w:rPr>
                <w:rFonts w:ascii="Corbel" w:eastAsia="Times New Roman" w:hAnsi="Corbel"/>
                <w:b/>
                <w:bCs/>
                <w:color w:val="000000"/>
                <w:sz w:val="19"/>
                <w:szCs w:val="19"/>
                <w:lang w:val="en-GB" w:eastAsia="en-GB"/>
              </w:rPr>
            </w:pPr>
            <w:r w:rsidRPr="00570ACC">
              <w:rPr>
                <w:rFonts w:ascii="Corbel" w:eastAsia="Times New Roman" w:hAnsi="Corbel"/>
                <w:b/>
                <w:bCs/>
                <w:color w:val="000000"/>
                <w:sz w:val="19"/>
                <w:szCs w:val="19"/>
                <w:lang w:val="en-GB" w:eastAsia="en-GB"/>
              </w:rPr>
              <w:t>Actual (202</w:t>
            </w:r>
            <w:r w:rsidR="00387456">
              <w:rPr>
                <w:rFonts w:ascii="Corbel" w:eastAsia="Times New Roman" w:hAnsi="Corbel"/>
                <w:b/>
                <w:bCs/>
                <w:color w:val="000000"/>
                <w:sz w:val="19"/>
                <w:szCs w:val="19"/>
                <w:lang w:val="en-GB" w:eastAsia="en-GB"/>
              </w:rPr>
              <w:t>2</w:t>
            </w:r>
            <w:r w:rsidRPr="00570ACC">
              <w:rPr>
                <w:rFonts w:ascii="Corbel" w:eastAsia="Times New Roman" w:hAnsi="Corbel"/>
                <w:b/>
                <w:bCs/>
                <w:color w:val="000000"/>
                <w:sz w:val="19"/>
                <w:szCs w:val="19"/>
                <w:lang w:val="en-GB" w:eastAsia="en-GB"/>
              </w:rPr>
              <w:t>)</w:t>
            </w:r>
          </w:p>
        </w:tc>
      </w:tr>
      <w:tr w:rsidR="00CF6835" w:rsidRPr="00570ACC" w14:paraId="02F890F4" w14:textId="77777777" w:rsidTr="00B833B7">
        <w:trPr>
          <w:trHeight w:val="1305"/>
        </w:trPr>
        <w:tc>
          <w:tcPr>
            <w:tcW w:w="1271" w:type="dxa"/>
            <w:vMerge w:val="restart"/>
            <w:tcBorders>
              <w:top w:val="single" w:sz="4" w:space="0" w:color="auto"/>
              <w:left w:val="single" w:sz="4" w:space="0" w:color="auto"/>
              <w:bottom w:val="nil"/>
              <w:right w:val="single" w:sz="4" w:space="0" w:color="auto"/>
            </w:tcBorders>
            <w:shd w:val="clear" w:color="000000" w:fill="EBF1DE"/>
            <w:vAlign w:val="center"/>
            <w:hideMark/>
          </w:tcPr>
          <w:p w14:paraId="1F140C17" w14:textId="77777777" w:rsidR="00CF6835" w:rsidRPr="00570ACC" w:rsidRDefault="00CF6835" w:rsidP="00FE539C">
            <w:pPr>
              <w:rPr>
                <w:rFonts w:ascii="Corbel" w:eastAsia="Times New Roman" w:hAnsi="Corbel"/>
                <w:sz w:val="19"/>
                <w:szCs w:val="19"/>
                <w:lang w:val="en-GB" w:eastAsia="en-GB"/>
              </w:rPr>
            </w:pPr>
            <w:r w:rsidRPr="00570ACC">
              <w:rPr>
                <w:rFonts w:ascii="Corbel" w:eastAsia="Times New Roman" w:hAnsi="Corbel"/>
                <w:b/>
                <w:bCs/>
                <w:sz w:val="19"/>
                <w:szCs w:val="19"/>
                <w:lang w:val="en-GB" w:eastAsia="en-GB"/>
              </w:rPr>
              <w:t>2.</w:t>
            </w:r>
            <w:r w:rsidRPr="00570ACC">
              <w:rPr>
                <w:rFonts w:ascii="Corbel" w:eastAsia="Times New Roman" w:hAnsi="Corbel"/>
                <w:sz w:val="19"/>
                <w:szCs w:val="19"/>
                <w:lang w:val="en-GB" w:eastAsia="en-GB"/>
              </w:rPr>
              <w:t xml:space="preserve"> Members States are capacitated and technically prepared for regional economic integration. </w:t>
            </w:r>
          </w:p>
        </w:tc>
        <w:tc>
          <w:tcPr>
            <w:tcW w:w="1418" w:type="dxa"/>
            <w:tcBorders>
              <w:top w:val="nil"/>
              <w:left w:val="nil"/>
              <w:bottom w:val="single" w:sz="4" w:space="0" w:color="auto"/>
              <w:right w:val="single" w:sz="4" w:space="0" w:color="auto"/>
            </w:tcBorders>
            <w:shd w:val="clear" w:color="000000" w:fill="EBF1DE"/>
            <w:vAlign w:val="center"/>
            <w:hideMark/>
          </w:tcPr>
          <w:p w14:paraId="5F209829" w14:textId="77777777" w:rsidR="00CF6835" w:rsidRPr="00570ACC" w:rsidRDefault="00CF6835" w:rsidP="00FE539C">
            <w:pPr>
              <w:rPr>
                <w:rFonts w:ascii="Corbel" w:eastAsia="Times New Roman" w:hAnsi="Corbel"/>
                <w:sz w:val="19"/>
                <w:szCs w:val="19"/>
                <w:lang w:val="en-GB" w:eastAsia="en-GB"/>
              </w:rPr>
            </w:pPr>
            <w:r w:rsidRPr="00570ACC">
              <w:rPr>
                <w:rFonts w:ascii="Corbel" w:eastAsia="Times New Roman" w:hAnsi="Corbel"/>
                <w:b/>
                <w:bCs/>
                <w:sz w:val="19"/>
                <w:szCs w:val="19"/>
                <w:lang w:val="en-GB" w:eastAsia="en-GB"/>
              </w:rPr>
              <w:t xml:space="preserve">Indicator 2.1: </w:t>
            </w:r>
            <w:r w:rsidRPr="00570ACC">
              <w:rPr>
                <w:rFonts w:ascii="Corbel" w:eastAsia="Times New Roman" w:hAnsi="Corbel"/>
                <w:sz w:val="19"/>
                <w:szCs w:val="19"/>
                <w:lang w:val="en-GB" w:eastAsia="en-GB"/>
              </w:rPr>
              <w:t xml:space="preserve">Level of capacity of policymakers for their activities related to trade policy reform and coherence </w:t>
            </w:r>
            <w:r w:rsidRPr="00570ACC">
              <w:rPr>
                <w:rFonts w:ascii="Corbel" w:eastAsia="Times New Roman" w:hAnsi="Corbel"/>
                <w:i/>
                <w:iCs/>
                <w:sz w:val="19"/>
                <w:szCs w:val="19"/>
                <w:lang w:val="en-GB" w:eastAsia="en-GB"/>
              </w:rPr>
              <w:t>(low, moderate, high, significant)</w:t>
            </w:r>
          </w:p>
        </w:tc>
        <w:tc>
          <w:tcPr>
            <w:tcW w:w="1276" w:type="dxa"/>
            <w:tcBorders>
              <w:top w:val="nil"/>
              <w:left w:val="nil"/>
              <w:bottom w:val="single" w:sz="4" w:space="0" w:color="auto"/>
              <w:right w:val="single" w:sz="4" w:space="0" w:color="auto"/>
            </w:tcBorders>
            <w:shd w:val="clear" w:color="000000" w:fill="EBF1DE"/>
            <w:vAlign w:val="center"/>
            <w:hideMark/>
          </w:tcPr>
          <w:p w14:paraId="007A3384" w14:textId="4CC5F079" w:rsidR="00CF6835" w:rsidRPr="00570ACC" w:rsidRDefault="00CF6835" w:rsidP="00FE539C">
            <w:pPr>
              <w:rPr>
                <w:rFonts w:ascii="Corbel" w:eastAsia="Times New Roman" w:hAnsi="Corbel"/>
                <w:sz w:val="19"/>
                <w:szCs w:val="19"/>
                <w:lang w:val="en-GB" w:eastAsia="en-GB"/>
              </w:rPr>
            </w:pPr>
            <w:r w:rsidRPr="00570ACC">
              <w:rPr>
                <w:rFonts w:ascii="Corbel" w:eastAsia="Times New Roman" w:hAnsi="Corbel"/>
                <w:b/>
                <w:bCs/>
                <w:sz w:val="19"/>
                <w:szCs w:val="19"/>
                <w:lang w:val="en-GB" w:eastAsia="en-GB"/>
              </w:rPr>
              <w:t>2.1.</w:t>
            </w:r>
            <w:r w:rsidRPr="00570ACC">
              <w:rPr>
                <w:rFonts w:ascii="Corbel" w:eastAsia="Times New Roman" w:hAnsi="Corbel"/>
                <w:sz w:val="19"/>
                <w:szCs w:val="19"/>
                <w:lang w:val="en-GB" w:eastAsia="en-GB"/>
              </w:rPr>
              <w:t xml:space="preserve"> </w:t>
            </w:r>
            <w:r w:rsidRPr="00F233FE">
              <w:rPr>
                <w:rFonts w:ascii="Corbel" w:eastAsia="Times New Roman" w:hAnsi="Corbel"/>
                <w:b/>
                <w:bCs/>
                <w:sz w:val="19"/>
                <w:szCs w:val="19"/>
                <w:lang w:val="en-GB" w:eastAsia="en-GB"/>
              </w:rPr>
              <w:t>Low</w:t>
            </w:r>
            <w:r w:rsidRPr="00570ACC">
              <w:rPr>
                <w:rFonts w:ascii="Corbel" w:eastAsia="Times New Roman" w:hAnsi="Corbel"/>
                <w:sz w:val="19"/>
                <w:szCs w:val="19"/>
                <w:lang w:val="en-GB" w:eastAsia="en-GB"/>
              </w:rPr>
              <w:t xml:space="preserve"> (Low level of commitment to provisions of the WTO Trade Facilitation Agreement) [2017]</w:t>
            </w:r>
          </w:p>
        </w:tc>
        <w:tc>
          <w:tcPr>
            <w:tcW w:w="1134" w:type="dxa"/>
            <w:tcBorders>
              <w:top w:val="nil"/>
              <w:left w:val="nil"/>
              <w:bottom w:val="single" w:sz="4" w:space="0" w:color="auto"/>
              <w:right w:val="single" w:sz="4" w:space="0" w:color="auto"/>
            </w:tcBorders>
            <w:shd w:val="clear" w:color="000000" w:fill="EBF1DE"/>
            <w:vAlign w:val="center"/>
            <w:hideMark/>
          </w:tcPr>
          <w:p w14:paraId="6B170187" w14:textId="77777777" w:rsidR="00CF6835" w:rsidRPr="00570ACC" w:rsidRDefault="00CF6835" w:rsidP="00FE539C">
            <w:pPr>
              <w:rPr>
                <w:rFonts w:ascii="Corbel" w:eastAsia="Times New Roman" w:hAnsi="Corbel"/>
                <w:sz w:val="19"/>
                <w:szCs w:val="19"/>
                <w:lang w:val="en-GB" w:eastAsia="en-GB"/>
              </w:rPr>
            </w:pPr>
            <w:r w:rsidRPr="00570ACC">
              <w:rPr>
                <w:rFonts w:ascii="Corbel" w:eastAsia="Times New Roman" w:hAnsi="Corbel"/>
                <w:b/>
                <w:bCs/>
                <w:sz w:val="19"/>
                <w:szCs w:val="19"/>
                <w:lang w:val="en-GB" w:eastAsia="en-GB"/>
              </w:rPr>
              <w:t>2.1.</w:t>
            </w:r>
            <w:r w:rsidRPr="00570ACC">
              <w:rPr>
                <w:rFonts w:ascii="Corbel" w:eastAsia="Times New Roman" w:hAnsi="Corbel"/>
                <w:sz w:val="19"/>
                <w:szCs w:val="19"/>
                <w:lang w:val="en-GB" w:eastAsia="en-GB"/>
              </w:rPr>
              <w:t xml:space="preserve">  </w:t>
            </w:r>
            <w:r w:rsidRPr="00570ACC">
              <w:rPr>
                <w:rFonts w:ascii="Corbel" w:eastAsia="Times New Roman" w:hAnsi="Corbel"/>
                <w:b/>
                <w:bCs/>
                <w:sz w:val="19"/>
                <w:szCs w:val="19"/>
                <w:lang w:val="en-GB" w:eastAsia="en-GB"/>
              </w:rPr>
              <w:t>Moderate</w:t>
            </w:r>
          </w:p>
        </w:tc>
        <w:tc>
          <w:tcPr>
            <w:tcW w:w="1701" w:type="dxa"/>
            <w:tcBorders>
              <w:top w:val="nil"/>
              <w:left w:val="nil"/>
              <w:bottom w:val="single" w:sz="4" w:space="0" w:color="auto"/>
              <w:right w:val="single" w:sz="4" w:space="0" w:color="auto"/>
            </w:tcBorders>
            <w:shd w:val="clear" w:color="000000" w:fill="EBF1DE"/>
            <w:vAlign w:val="center"/>
            <w:hideMark/>
          </w:tcPr>
          <w:p w14:paraId="1921C92F" w14:textId="77777777" w:rsidR="009A383B" w:rsidRDefault="00CF6835" w:rsidP="00FE539C">
            <w:pPr>
              <w:rPr>
                <w:rFonts w:ascii="Corbel" w:eastAsia="Times New Roman" w:hAnsi="Corbel"/>
                <w:sz w:val="19"/>
                <w:szCs w:val="19"/>
                <w:lang w:val="en-GB" w:eastAsia="en-GB"/>
              </w:rPr>
            </w:pPr>
            <w:r w:rsidRPr="00570ACC">
              <w:rPr>
                <w:rFonts w:ascii="Corbel" w:eastAsia="Times New Roman" w:hAnsi="Corbel"/>
                <w:b/>
                <w:bCs/>
                <w:sz w:val="19"/>
                <w:szCs w:val="19"/>
                <w:lang w:val="en-GB" w:eastAsia="en-GB"/>
              </w:rPr>
              <w:t>2.1.</w:t>
            </w:r>
            <w:r w:rsidRPr="00570ACC">
              <w:rPr>
                <w:rFonts w:ascii="Corbel" w:eastAsia="Times New Roman" w:hAnsi="Corbel"/>
                <w:sz w:val="19"/>
                <w:szCs w:val="19"/>
                <w:lang w:val="en-GB" w:eastAsia="en-GB"/>
              </w:rPr>
              <w:t xml:space="preserve"> </w:t>
            </w:r>
            <w:r w:rsidRPr="00570ACC">
              <w:rPr>
                <w:rFonts w:ascii="Corbel" w:eastAsia="Times New Roman" w:hAnsi="Corbel"/>
                <w:b/>
                <w:bCs/>
                <w:sz w:val="19"/>
                <w:szCs w:val="19"/>
                <w:lang w:val="en-GB" w:eastAsia="en-GB"/>
              </w:rPr>
              <w:t>Moderate</w:t>
            </w:r>
            <w:r w:rsidRPr="00570ACC">
              <w:rPr>
                <w:rFonts w:ascii="Corbel" w:eastAsia="Times New Roman" w:hAnsi="Corbel"/>
                <w:sz w:val="19"/>
                <w:szCs w:val="19"/>
                <w:lang w:val="en-GB" w:eastAsia="en-GB"/>
              </w:rPr>
              <w:t xml:space="preserve"> –</w:t>
            </w:r>
          </w:p>
          <w:p w14:paraId="0D9A1EDD" w14:textId="77777777" w:rsidR="009A383B" w:rsidRDefault="009A383B" w:rsidP="00FE539C">
            <w:pPr>
              <w:rPr>
                <w:rFonts w:ascii="Corbel" w:eastAsia="Times New Roman" w:hAnsi="Corbel"/>
                <w:sz w:val="19"/>
                <w:szCs w:val="19"/>
                <w:lang w:val="en-GB" w:eastAsia="en-GB"/>
              </w:rPr>
            </w:pPr>
            <w:r>
              <w:rPr>
                <w:rFonts w:ascii="Corbel" w:eastAsia="Times New Roman" w:hAnsi="Corbel"/>
                <w:sz w:val="19"/>
                <w:szCs w:val="19"/>
                <w:lang w:val="en-GB" w:eastAsia="en-GB"/>
              </w:rPr>
              <w:t xml:space="preserve">1. </w:t>
            </w:r>
            <w:r w:rsidR="00CF6835" w:rsidRPr="00570ACC">
              <w:rPr>
                <w:rFonts w:ascii="Corbel" w:eastAsia="Times New Roman" w:hAnsi="Corbel"/>
                <w:sz w:val="19"/>
                <w:szCs w:val="19"/>
                <w:lang w:val="en-GB" w:eastAsia="en-GB"/>
              </w:rPr>
              <w:t xml:space="preserve">Palestinian offer to participate </w:t>
            </w:r>
            <w:r>
              <w:rPr>
                <w:rFonts w:ascii="Corbel" w:eastAsia="Times New Roman" w:hAnsi="Corbel"/>
                <w:sz w:val="19"/>
                <w:szCs w:val="19"/>
                <w:lang w:val="en-GB" w:eastAsia="en-GB"/>
              </w:rPr>
              <w:t>in the</w:t>
            </w:r>
            <w:r w:rsidR="00CF6835" w:rsidRPr="00570ACC">
              <w:rPr>
                <w:rFonts w:ascii="Corbel" w:eastAsia="Times New Roman" w:hAnsi="Corbel"/>
                <w:sz w:val="19"/>
                <w:szCs w:val="19"/>
                <w:lang w:val="en-GB" w:eastAsia="en-GB"/>
              </w:rPr>
              <w:t xml:space="preserve"> Arab Agreement on trade in services</w:t>
            </w:r>
          </w:p>
          <w:p w14:paraId="6CA2892F" w14:textId="63599752" w:rsidR="00CF6835" w:rsidRPr="00570ACC" w:rsidRDefault="009A383B" w:rsidP="00FE539C">
            <w:pPr>
              <w:rPr>
                <w:rFonts w:ascii="Corbel" w:eastAsia="Times New Roman" w:hAnsi="Corbel"/>
                <w:sz w:val="19"/>
                <w:szCs w:val="19"/>
                <w:lang w:val="en-GB" w:eastAsia="en-GB"/>
              </w:rPr>
            </w:pPr>
            <w:r>
              <w:rPr>
                <w:rFonts w:ascii="Corbel" w:eastAsia="Times New Roman" w:hAnsi="Corbel"/>
                <w:sz w:val="19"/>
                <w:szCs w:val="19"/>
                <w:lang w:val="en-GB" w:eastAsia="en-GB"/>
              </w:rPr>
              <w:t>2.</w:t>
            </w:r>
            <w:r w:rsidR="00CF6835" w:rsidRPr="00570ACC">
              <w:rPr>
                <w:rFonts w:ascii="Corbel" w:eastAsia="Times New Roman" w:hAnsi="Corbel"/>
                <w:sz w:val="19"/>
                <w:szCs w:val="19"/>
                <w:lang w:val="en-GB" w:eastAsia="en-GB"/>
              </w:rPr>
              <w:t xml:space="preserve"> Morocco adopted </w:t>
            </w:r>
            <w:r>
              <w:rPr>
                <w:rFonts w:ascii="Corbel" w:eastAsia="Times New Roman" w:hAnsi="Corbel"/>
                <w:sz w:val="19"/>
                <w:szCs w:val="19"/>
                <w:lang w:val="en-GB" w:eastAsia="en-GB"/>
              </w:rPr>
              <w:t>new</w:t>
            </w:r>
            <w:r w:rsidR="00CF6835" w:rsidRPr="00570ACC">
              <w:rPr>
                <w:rFonts w:ascii="Corbel" w:eastAsia="Times New Roman" w:hAnsi="Corbel"/>
                <w:sz w:val="19"/>
                <w:szCs w:val="19"/>
                <w:lang w:val="en-GB" w:eastAsia="en-GB"/>
              </w:rPr>
              <w:t xml:space="preserve"> policies on trade in services. </w:t>
            </w:r>
          </w:p>
        </w:tc>
        <w:tc>
          <w:tcPr>
            <w:tcW w:w="851" w:type="dxa"/>
            <w:tcBorders>
              <w:top w:val="nil"/>
              <w:left w:val="nil"/>
              <w:bottom w:val="single" w:sz="4" w:space="0" w:color="auto"/>
              <w:right w:val="single" w:sz="4" w:space="0" w:color="auto"/>
            </w:tcBorders>
            <w:shd w:val="clear" w:color="000000" w:fill="EBF1DE"/>
            <w:vAlign w:val="center"/>
            <w:hideMark/>
          </w:tcPr>
          <w:p w14:paraId="3275C018" w14:textId="77777777" w:rsidR="00CF6835" w:rsidRPr="00570ACC" w:rsidRDefault="00CF6835" w:rsidP="00FE539C">
            <w:pPr>
              <w:rPr>
                <w:rFonts w:ascii="Corbel" w:eastAsia="Times New Roman" w:hAnsi="Corbel"/>
                <w:sz w:val="19"/>
                <w:szCs w:val="19"/>
                <w:lang w:val="en-GB" w:eastAsia="en-GB"/>
              </w:rPr>
            </w:pPr>
            <w:r w:rsidRPr="00570ACC">
              <w:rPr>
                <w:rFonts w:ascii="Corbel" w:eastAsia="Times New Roman" w:hAnsi="Corbel"/>
                <w:sz w:val="19"/>
                <w:szCs w:val="19"/>
                <w:lang w:val="en-GB" w:eastAsia="en-GB"/>
              </w:rPr>
              <w:t xml:space="preserve">2.1 </w:t>
            </w:r>
            <w:r w:rsidRPr="00570ACC">
              <w:rPr>
                <w:rFonts w:ascii="Corbel" w:eastAsia="Times New Roman" w:hAnsi="Corbel"/>
                <w:b/>
                <w:bCs/>
                <w:sz w:val="19"/>
                <w:szCs w:val="19"/>
                <w:lang w:val="en-GB" w:eastAsia="en-GB"/>
              </w:rPr>
              <w:t>High</w:t>
            </w:r>
          </w:p>
        </w:tc>
        <w:tc>
          <w:tcPr>
            <w:tcW w:w="2517" w:type="dxa"/>
            <w:tcBorders>
              <w:top w:val="nil"/>
              <w:left w:val="nil"/>
              <w:bottom w:val="single" w:sz="4" w:space="0" w:color="auto"/>
              <w:right w:val="single" w:sz="4" w:space="0" w:color="auto"/>
            </w:tcBorders>
            <w:shd w:val="clear" w:color="000000" w:fill="EBF1DE"/>
            <w:vAlign w:val="center"/>
            <w:hideMark/>
          </w:tcPr>
          <w:p w14:paraId="6A572179" w14:textId="2F2DA661" w:rsidR="00CF6835" w:rsidRPr="00570ACC" w:rsidRDefault="00CF6835" w:rsidP="00FE539C">
            <w:pPr>
              <w:rPr>
                <w:rFonts w:ascii="Corbel" w:eastAsia="Times New Roman" w:hAnsi="Corbel"/>
                <w:sz w:val="19"/>
                <w:szCs w:val="19"/>
                <w:lang w:val="en-GB" w:eastAsia="en-GB"/>
              </w:rPr>
            </w:pPr>
            <w:r w:rsidRPr="00570ACC">
              <w:rPr>
                <w:rFonts w:ascii="Corbel" w:eastAsia="Times New Roman" w:hAnsi="Corbel"/>
                <w:sz w:val="19"/>
                <w:szCs w:val="19"/>
                <w:lang w:val="en-GB" w:eastAsia="en-GB"/>
              </w:rPr>
              <w:t xml:space="preserve">2.1 </w:t>
            </w:r>
            <w:r w:rsidR="009B3CDD">
              <w:rPr>
                <w:rFonts w:ascii="Corbel" w:eastAsia="Times New Roman" w:hAnsi="Corbel"/>
                <w:b/>
                <w:bCs/>
                <w:sz w:val="19"/>
                <w:szCs w:val="19"/>
                <w:lang w:val="en-GB" w:eastAsia="en-GB"/>
              </w:rPr>
              <w:t>Moderate</w:t>
            </w:r>
            <w:r w:rsidRPr="00570ACC">
              <w:rPr>
                <w:rFonts w:ascii="Corbel" w:eastAsia="Times New Roman" w:hAnsi="Corbel"/>
                <w:sz w:val="19"/>
                <w:szCs w:val="19"/>
                <w:lang w:val="en-GB" w:eastAsia="en-GB"/>
              </w:rPr>
              <w:t xml:space="preserve"> </w:t>
            </w:r>
          </w:p>
          <w:p w14:paraId="2A923182" w14:textId="77777777" w:rsidR="009A383B" w:rsidRDefault="00CF6835" w:rsidP="00FE539C">
            <w:pPr>
              <w:rPr>
                <w:rFonts w:ascii="Corbel" w:eastAsia="Times New Roman" w:hAnsi="Corbel"/>
                <w:sz w:val="19"/>
                <w:szCs w:val="19"/>
                <w:lang w:val="en-GB" w:eastAsia="en-GB"/>
              </w:rPr>
            </w:pPr>
            <w:r w:rsidRPr="00570ACC">
              <w:rPr>
                <w:rFonts w:ascii="Corbel" w:eastAsia="Times New Roman" w:hAnsi="Corbel"/>
                <w:sz w:val="19"/>
                <w:szCs w:val="19"/>
                <w:lang w:val="en-GB" w:eastAsia="en-GB"/>
              </w:rPr>
              <w:t xml:space="preserve">1. Palestine become a contracting party to </w:t>
            </w:r>
            <w:r w:rsidR="009A383B">
              <w:rPr>
                <w:rFonts w:ascii="Corbel" w:eastAsia="Times New Roman" w:hAnsi="Corbel"/>
                <w:sz w:val="19"/>
                <w:szCs w:val="19"/>
                <w:lang w:val="en-GB" w:eastAsia="en-GB"/>
              </w:rPr>
              <w:t xml:space="preserve">the </w:t>
            </w:r>
            <w:r w:rsidRPr="00570ACC">
              <w:rPr>
                <w:rFonts w:ascii="Corbel" w:eastAsia="Times New Roman" w:hAnsi="Corbel"/>
                <w:sz w:val="19"/>
                <w:szCs w:val="19"/>
                <w:lang w:val="en-GB" w:eastAsia="en-GB"/>
              </w:rPr>
              <w:t xml:space="preserve">Arab Agreement </w:t>
            </w:r>
            <w:r w:rsidR="009A383B">
              <w:rPr>
                <w:rFonts w:ascii="Corbel" w:eastAsia="Times New Roman" w:hAnsi="Corbel"/>
                <w:sz w:val="19"/>
                <w:szCs w:val="19"/>
                <w:lang w:val="en-GB" w:eastAsia="en-GB"/>
              </w:rPr>
              <w:t xml:space="preserve">on trade </w:t>
            </w:r>
            <w:r w:rsidRPr="00570ACC">
              <w:rPr>
                <w:rFonts w:ascii="Corbel" w:eastAsia="Times New Roman" w:hAnsi="Corbel"/>
                <w:sz w:val="19"/>
                <w:szCs w:val="19"/>
                <w:lang w:val="en-GB" w:eastAsia="en-GB"/>
              </w:rPr>
              <w:t>in Services.</w:t>
            </w:r>
          </w:p>
          <w:p w14:paraId="79468229" w14:textId="4B6A00B5" w:rsidR="00CF6835" w:rsidRPr="00570ACC" w:rsidRDefault="00FB61D4" w:rsidP="00FE539C">
            <w:pPr>
              <w:rPr>
                <w:rFonts w:ascii="Corbel" w:eastAsia="Times New Roman" w:hAnsi="Corbel"/>
                <w:sz w:val="19"/>
                <w:szCs w:val="19"/>
                <w:lang w:val="en-GB" w:eastAsia="en-GB"/>
              </w:rPr>
            </w:pPr>
            <w:r>
              <w:rPr>
                <w:rFonts w:ascii="Corbel" w:eastAsia="Times New Roman" w:hAnsi="Corbel"/>
                <w:sz w:val="19"/>
                <w:szCs w:val="19"/>
                <w:lang w:val="en-GB" w:eastAsia="en-GB"/>
              </w:rPr>
              <w:t>2</w:t>
            </w:r>
            <w:r w:rsidR="00CF6835" w:rsidRPr="00570ACC">
              <w:rPr>
                <w:rFonts w:ascii="Corbel" w:eastAsia="Times New Roman" w:hAnsi="Corbel"/>
                <w:sz w:val="19"/>
                <w:szCs w:val="19"/>
                <w:lang w:val="en-GB" w:eastAsia="en-GB"/>
              </w:rPr>
              <w:t>. Lebanon develop</w:t>
            </w:r>
            <w:r w:rsidR="00C21DCA">
              <w:rPr>
                <w:rFonts w:ascii="Corbel" w:eastAsia="Times New Roman" w:hAnsi="Corbel"/>
                <w:sz w:val="19"/>
                <w:szCs w:val="19"/>
                <w:lang w:val="en-GB" w:eastAsia="en-GB"/>
              </w:rPr>
              <w:t>ed its</w:t>
            </w:r>
            <w:r w:rsidR="00CF6835" w:rsidRPr="00570ACC">
              <w:rPr>
                <w:rFonts w:ascii="Corbel" w:eastAsia="Times New Roman" w:hAnsi="Corbel"/>
                <w:sz w:val="19"/>
                <w:szCs w:val="19"/>
                <w:lang w:val="en-GB" w:eastAsia="en-GB"/>
              </w:rPr>
              <w:t xml:space="preserve"> Roadmap </w:t>
            </w:r>
            <w:r w:rsidR="00C21DCA">
              <w:rPr>
                <w:rFonts w:ascii="Corbel" w:eastAsia="Times New Roman" w:hAnsi="Corbel"/>
                <w:sz w:val="19"/>
                <w:szCs w:val="19"/>
                <w:lang w:val="en-GB" w:eastAsia="en-GB"/>
              </w:rPr>
              <w:t>for</w:t>
            </w:r>
            <w:r w:rsidR="00CF6835" w:rsidRPr="00570ACC">
              <w:rPr>
                <w:rFonts w:ascii="Corbel" w:eastAsia="Times New Roman" w:hAnsi="Corbel"/>
                <w:sz w:val="19"/>
                <w:szCs w:val="19"/>
                <w:lang w:val="en-GB" w:eastAsia="en-GB"/>
              </w:rPr>
              <w:t xml:space="preserve"> Export Promotion.</w:t>
            </w:r>
          </w:p>
          <w:p w14:paraId="0A553C57" w14:textId="5235AA0A" w:rsidR="00CF6835" w:rsidRPr="00FB61D4" w:rsidRDefault="00FB61D4" w:rsidP="00FE539C">
            <w:pPr>
              <w:rPr>
                <w:rFonts w:ascii="Corbel" w:eastAsia="Times New Roman" w:hAnsi="Corbel"/>
                <w:sz w:val="19"/>
                <w:szCs w:val="19"/>
                <w:lang w:val="en-GB" w:eastAsia="en-GB"/>
              </w:rPr>
            </w:pPr>
            <w:r>
              <w:rPr>
                <w:rFonts w:ascii="Corbel" w:eastAsia="Times New Roman" w:hAnsi="Corbel"/>
                <w:sz w:val="19"/>
                <w:szCs w:val="19"/>
                <w:lang w:val="en-GB" w:eastAsia="en-GB"/>
              </w:rPr>
              <w:t>3</w:t>
            </w:r>
            <w:r w:rsidR="00CF6835" w:rsidRPr="00570ACC">
              <w:rPr>
                <w:rFonts w:ascii="Corbel" w:eastAsia="Times New Roman" w:hAnsi="Corbel"/>
                <w:sz w:val="19"/>
                <w:szCs w:val="19"/>
                <w:lang w:val="en-GB" w:eastAsia="en-GB"/>
              </w:rPr>
              <w:t xml:space="preserve">. </w:t>
            </w:r>
            <w:r w:rsidR="00882EDF">
              <w:rPr>
                <w:rFonts w:ascii="Corbel" w:eastAsia="Times New Roman" w:hAnsi="Corbel"/>
                <w:sz w:val="19"/>
                <w:szCs w:val="19"/>
                <w:lang w:val="en-GB" w:eastAsia="en-GB"/>
              </w:rPr>
              <w:t>Morocco</w:t>
            </w:r>
            <w:r w:rsidR="000924A6">
              <w:rPr>
                <w:rFonts w:ascii="Corbel" w:eastAsia="Times New Roman" w:hAnsi="Corbel"/>
                <w:sz w:val="19"/>
                <w:szCs w:val="19"/>
                <w:lang w:val="en-GB" w:eastAsia="en-GB"/>
              </w:rPr>
              <w:t xml:space="preserve"> revi</w:t>
            </w:r>
            <w:r w:rsidR="0086194E">
              <w:rPr>
                <w:rFonts w:ascii="Corbel" w:eastAsia="Times New Roman" w:hAnsi="Corbel"/>
                <w:sz w:val="19"/>
                <w:szCs w:val="19"/>
                <w:lang w:val="en-GB" w:eastAsia="en-GB"/>
              </w:rPr>
              <w:t>ewed</w:t>
            </w:r>
            <w:r w:rsidR="00CF6835" w:rsidRPr="00570ACC">
              <w:rPr>
                <w:rFonts w:ascii="Corbel" w:eastAsia="Times New Roman" w:hAnsi="Corbel"/>
                <w:sz w:val="19"/>
                <w:szCs w:val="19"/>
                <w:lang w:val="en-GB" w:eastAsia="en-GB"/>
              </w:rPr>
              <w:t xml:space="preserve"> trade policies in three service sectors.</w:t>
            </w:r>
          </w:p>
        </w:tc>
      </w:tr>
      <w:tr w:rsidR="00CF6835" w:rsidRPr="00570ACC" w14:paraId="0718A607" w14:textId="77777777" w:rsidTr="00B833B7">
        <w:trPr>
          <w:trHeight w:val="1305"/>
        </w:trPr>
        <w:tc>
          <w:tcPr>
            <w:tcW w:w="1271" w:type="dxa"/>
            <w:vMerge/>
            <w:tcBorders>
              <w:top w:val="single" w:sz="4" w:space="0" w:color="auto"/>
              <w:left w:val="single" w:sz="4" w:space="0" w:color="auto"/>
              <w:bottom w:val="nil"/>
              <w:right w:val="single" w:sz="4" w:space="0" w:color="auto"/>
            </w:tcBorders>
            <w:vAlign w:val="center"/>
            <w:hideMark/>
          </w:tcPr>
          <w:p w14:paraId="14DD8EB9" w14:textId="77777777" w:rsidR="00CF6835" w:rsidRPr="00570ACC" w:rsidRDefault="00CF6835" w:rsidP="00FE539C">
            <w:pPr>
              <w:rPr>
                <w:rFonts w:ascii="Corbel" w:eastAsia="Times New Roman" w:hAnsi="Corbel"/>
                <w:sz w:val="19"/>
                <w:szCs w:val="19"/>
                <w:lang w:val="en-GB" w:eastAsia="en-GB"/>
              </w:rPr>
            </w:pPr>
          </w:p>
        </w:tc>
        <w:tc>
          <w:tcPr>
            <w:tcW w:w="1418" w:type="dxa"/>
            <w:tcBorders>
              <w:top w:val="nil"/>
              <w:left w:val="nil"/>
              <w:bottom w:val="single" w:sz="4" w:space="0" w:color="auto"/>
              <w:right w:val="single" w:sz="4" w:space="0" w:color="auto"/>
            </w:tcBorders>
            <w:shd w:val="clear" w:color="000000" w:fill="EBF1DE"/>
            <w:vAlign w:val="center"/>
            <w:hideMark/>
          </w:tcPr>
          <w:p w14:paraId="12B91DE3" w14:textId="4D1C6AFB" w:rsidR="00CF6835" w:rsidRPr="00570ACC" w:rsidRDefault="00CF6835" w:rsidP="00FE539C">
            <w:pPr>
              <w:rPr>
                <w:rFonts w:ascii="Corbel" w:eastAsia="Times New Roman" w:hAnsi="Corbel"/>
                <w:color w:val="000000"/>
                <w:sz w:val="19"/>
                <w:szCs w:val="19"/>
                <w:lang w:val="en-GB" w:eastAsia="en-GB"/>
              </w:rPr>
            </w:pPr>
            <w:r w:rsidRPr="00570ACC">
              <w:rPr>
                <w:rFonts w:ascii="Corbel" w:eastAsia="Times New Roman" w:hAnsi="Corbel"/>
                <w:b/>
                <w:bCs/>
                <w:color w:val="000000"/>
                <w:sz w:val="19"/>
                <w:szCs w:val="19"/>
                <w:lang w:val="en-GB" w:eastAsia="en-GB"/>
              </w:rPr>
              <w:t>Indicator 2.2</w:t>
            </w:r>
            <w:r w:rsidRPr="00570ACC">
              <w:rPr>
                <w:rFonts w:ascii="Corbel" w:eastAsia="Times New Roman" w:hAnsi="Corbel"/>
                <w:color w:val="000000"/>
                <w:sz w:val="19"/>
                <w:szCs w:val="19"/>
                <w:lang w:val="en-GB" w:eastAsia="en-GB"/>
              </w:rPr>
              <w:t>. Level of capacity of national policymakers on the modernization of the</w:t>
            </w:r>
            <w:r w:rsidR="00B833B7">
              <w:rPr>
                <w:rFonts w:ascii="Corbel" w:eastAsia="Times New Roman" w:hAnsi="Corbel"/>
                <w:color w:val="000000"/>
                <w:sz w:val="19"/>
                <w:szCs w:val="19"/>
                <w:lang w:val="en-GB" w:eastAsia="en-GB"/>
              </w:rPr>
              <w:t>ir</w:t>
            </w:r>
            <w:r w:rsidRPr="00570ACC">
              <w:rPr>
                <w:rFonts w:ascii="Corbel" w:eastAsia="Times New Roman" w:hAnsi="Corbel"/>
                <w:color w:val="000000"/>
                <w:sz w:val="19"/>
                <w:szCs w:val="19"/>
                <w:lang w:val="en-GB" w:eastAsia="en-GB"/>
              </w:rPr>
              <w:t xml:space="preserve"> supply/value chain in preparation for the Arab Customs Union (ACU) </w:t>
            </w:r>
            <w:r w:rsidRPr="00570ACC">
              <w:rPr>
                <w:rFonts w:ascii="Corbel" w:eastAsia="Times New Roman" w:hAnsi="Corbel"/>
                <w:i/>
                <w:iCs/>
                <w:color w:val="000000"/>
                <w:sz w:val="19"/>
                <w:szCs w:val="19"/>
                <w:lang w:val="en-GB" w:eastAsia="en-GB"/>
              </w:rPr>
              <w:t xml:space="preserve">(low, moderate, </w:t>
            </w:r>
            <w:r w:rsidRPr="00570ACC">
              <w:rPr>
                <w:rFonts w:ascii="Corbel" w:eastAsia="Times New Roman" w:hAnsi="Corbel"/>
                <w:i/>
                <w:iCs/>
                <w:color w:val="000000"/>
                <w:sz w:val="19"/>
                <w:szCs w:val="19"/>
                <w:lang w:val="en-GB" w:eastAsia="en-GB"/>
              </w:rPr>
              <w:lastRenderedPageBreak/>
              <w:t>high, significant)</w:t>
            </w:r>
          </w:p>
        </w:tc>
        <w:tc>
          <w:tcPr>
            <w:tcW w:w="1276" w:type="dxa"/>
            <w:tcBorders>
              <w:top w:val="nil"/>
              <w:left w:val="nil"/>
              <w:bottom w:val="single" w:sz="4" w:space="0" w:color="auto"/>
              <w:right w:val="single" w:sz="4" w:space="0" w:color="auto"/>
            </w:tcBorders>
            <w:shd w:val="clear" w:color="000000" w:fill="EBF1DE"/>
            <w:vAlign w:val="center"/>
            <w:hideMark/>
          </w:tcPr>
          <w:p w14:paraId="62BC4D4D" w14:textId="3698F455" w:rsidR="00CF6835" w:rsidRPr="00570ACC" w:rsidRDefault="00CF6835" w:rsidP="00FE539C">
            <w:pPr>
              <w:rPr>
                <w:rFonts w:ascii="Corbel" w:eastAsia="Times New Roman" w:hAnsi="Corbel"/>
                <w:sz w:val="19"/>
                <w:szCs w:val="19"/>
                <w:lang w:val="en-GB" w:eastAsia="en-GB"/>
              </w:rPr>
            </w:pPr>
            <w:r w:rsidRPr="00570ACC">
              <w:rPr>
                <w:rFonts w:ascii="Corbel" w:eastAsia="Times New Roman" w:hAnsi="Corbel"/>
                <w:b/>
                <w:bCs/>
                <w:sz w:val="19"/>
                <w:szCs w:val="19"/>
                <w:lang w:val="en-GB" w:eastAsia="en-GB"/>
              </w:rPr>
              <w:lastRenderedPageBreak/>
              <w:t>2.2.</w:t>
            </w:r>
            <w:r w:rsidRPr="00570ACC">
              <w:rPr>
                <w:rFonts w:ascii="Corbel" w:eastAsia="Times New Roman" w:hAnsi="Corbel"/>
                <w:sz w:val="19"/>
                <w:szCs w:val="19"/>
                <w:lang w:val="en-GB" w:eastAsia="en-GB"/>
              </w:rPr>
              <w:t xml:space="preserve"> </w:t>
            </w:r>
            <w:r w:rsidRPr="001F1DB6">
              <w:rPr>
                <w:rFonts w:ascii="Corbel" w:eastAsia="Times New Roman" w:hAnsi="Corbel"/>
                <w:b/>
                <w:bCs/>
                <w:sz w:val="19"/>
                <w:szCs w:val="19"/>
                <w:lang w:val="en-GB" w:eastAsia="en-GB"/>
              </w:rPr>
              <w:t>Low</w:t>
            </w:r>
            <w:r w:rsidRPr="00570ACC">
              <w:rPr>
                <w:rFonts w:ascii="Corbel" w:eastAsia="Times New Roman" w:hAnsi="Corbel"/>
                <w:sz w:val="19"/>
                <w:szCs w:val="19"/>
                <w:lang w:val="en-GB" w:eastAsia="en-GB"/>
              </w:rPr>
              <w:t xml:space="preserve"> Lack of </w:t>
            </w:r>
            <w:r w:rsidR="00325E39">
              <w:rPr>
                <w:rFonts w:ascii="Corbel" w:eastAsia="Times New Roman" w:hAnsi="Corbel"/>
                <w:sz w:val="19"/>
                <w:szCs w:val="19"/>
                <w:lang w:val="en-GB" w:eastAsia="en-GB"/>
              </w:rPr>
              <w:t xml:space="preserve">trade </w:t>
            </w:r>
            <w:r w:rsidRPr="00570ACC">
              <w:rPr>
                <w:rFonts w:ascii="Corbel" w:eastAsia="Times New Roman" w:hAnsi="Corbel"/>
                <w:sz w:val="19"/>
                <w:szCs w:val="19"/>
                <w:lang w:val="en-GB" w:eastAsia="en-GB"/>
              </w:rPr>
              <w:t xml:space="preserve">expertise </w:t>
            </w:r>
            <w:r w:rsidR="00733796">
              <w:rPr>
                <w:rFonts w:ascii="Corbel" w:eastAsia="Times New Roman" w:hAnsi="Corbel"/>
                <w:sz w:val="19"/>
                <w:szCs w:val="19"/>
                <w:lang w:val="en-GB" w:eastAsia="en-GB"/>
              </w:rPr>
              <w:t>in</w:t>
            </w:r>
            <w:r w:rsidRPr="00570ACC">
              <w:rPr>
                <w:rFonts w:ascii="Corbel" w:eastAsia="Times New Roman" w:hAnsi="Corbel"/>
                <w:sz w:val="19"/>
                <w:szCs w:val="19"/>
                <w:lang w:val="en-GB" w:eastAsia="en-GB"/>
              </w:rPr>
              <w:t xml:space="preserve"> member states of PAFTA and inadequate knowledge and skills of policymakers [2017]</w:t>
            </w:r>
          </w:p>
        </w:tc>
        <w:tc>
          <w:tcPr>
            <w:tcW w:w="1134" w:type="dxa"/>
            <w:tcBorders>
              <w:top w:val="nil"/>
              <w:left w:val="nil"/>
              <w:bottom w:val="single" w:sz="4" w:space="0" w:color="auto"/>
              <w:right w:val="single" w:sz="4" w:space="0" w:color="auto"/>
            </w:tcBorders>
            <w:shd w:val="clear" w:color="000000" w:fill="EBF1DE"/>
            <w:vAlign w:val="center"/>
            <w:hideMark/>
          </w:tcPr>
          <w:p w14:paraId="6CEE79E2" w14:textId="54DA4502" w:rsidR="00CF6835" w:rsidRPr="00570ACC" w:rsidRDefault="00CF6835" w:rsidP="00FE539C">
            <w:pPr>
              <w:rPr>
                <w:rFonts w:ascii="Corbel" w:eastAsia="Times New Roman" w:hAnsi="Corbel"/>
                <w:color w:val="000000"/>
                <w:sz w:val="19"/>
                <w:szCs w:val="19"/>
                <w:lang w:val="en-GB" w:eastAsia="en-GB"/>
              </w:rPr>
            </w:pPr>
            <w:r w:rsidRPr="00570ACC">
              <w:rPr>
                <w:rFonts w:ascii="Corbel" w:eastAsia="Times New Roman" w:hAnsi="Corbel"/>
                <w:color w:val="000000"/>
                <w:sz w:val="19"/>
                <w:szCs w:val="19"/>
                <w:lang w:val="en-GB" w:eastAsia="en-GB"/>
              </w:rPr>
              <w:t>2.2</w:t>
            </w:r>
            <w:r w:rsidRPr="00570ACC">
              <w:rPr>
                <w:rFonts w:ascii="Corbel" w:eastAsia="Times New Roman" w:hAnsi="Corbel"/>
                <w:b/>
                <w:bCs/>
                <w:color w:val="000000"/>
                <w:sz w:val="19"/>
                <w:szCs w:val="19"/>
                <w:lang w:val="en-GB" w:eastAsia="en-GB"/>
              </w:rPr>
              <w:t>.</w:t>
            </w:r>
            <w:r w:rsidRPr="00570ACC">
              <w:rPr>
                <w:rFonts w:ascii="Corbel" w:eastAsia="Times New Roman" w:hAnsi="Corbel"/>
                <w:color w:val="000000"/>
                <w:sz w:val="19"/>
                <w:szCs w:val="19"/>
                <w:lang w:val="en-GB" w:eastAsia="en-GB"/>
              </w:rPr>
              <w:t xml:space="preserve"> </w:t>
            </w:r>
            <w:r w:rsidR="006E6829">
              <w:rPr>
                <w:rFonts w:ascii="Corbel" w:eastAsia="Times New Roman" w:hAnsi="Corbel"/>
                <w:b/>
                <w:bCs/>
                <w:color w:val="000000"/>
                <w:sz w:val="19"/>
                <w:szCs w:val="19"/>
                <w:lang w:val="en-GB" w:eastAsia="en-GB"/>
              </w:rPr>
              <w:t>Moderate</w:t>
            </w:r>
            <w:r w:rsidRPr="00570ACC">
              <w:rPr>
                <w:rFonts w:ascii="Corbel" w:eastAsia="Times New Roman" w:hAnsi="Corbel"/>
                <w:color w:val="000000"/>
                <w:sz w:val="19"/>
                <w:szCs w:val="19"/>
                <w:lang w:val="en-GB" w:eastAsia="en-GB"/>
              </w:rPr>
              <w:t xml:space="preserve"> </w:t>
            </w:r>
          </w:p>
        </w:tc>
        <w:tc>
          <w:tcPr>
            <w:tcW w:w="1701" w:type="dxa"/>
            <w:tcBorders>
              <w:top w:val="nil"/>
              <w:left w:val="nil"/>
              <w:bottom w:val="single" w:sz="4" w:space="0" w:color="auto"/>
              <w:right w:val="single" w:sz="4" w:space="0" w:color="auto"/>
            </w:tcBorders>
            <w:shd w:val="clear" w:color="000000" w:fill="EBF1DE"/>
            <w:vAlign w:val="center"/>
            <w:hideMark/>
          </w:tcPr>
          <w:p w14:paraId="5B0D0043" w14:textId="397873E4" w:rsidR="0017273C" w:rsidRDefault="00CF6835" w:rsidP="00FE539C">
            <w:pPr>
              <w:rPr>
                <w:rFonts w:ascii="Corbel" w:eastAsia="Times New Roman" w:hAnsi="Corbel"/>
                <w:color w:val="000000"/>
                <w:sz w:val="19"/>
                <w:szCs w:val="19"/>
                <w:lang w:val="en-GB" w:eastAsia="en-GB"/>
              </w:rPr>
            </w:pPr>
            <w:r w:rsidRPr="00570ACC">
              <w:rPr>
                <w:rFonts w:ascii="Corbel" w:eastAsia="Times New Roman" w:hAnsi="Corbel"/>
                <w:b/>
                <w:bCs/>
                <w:color w:val="000000"/>
                <w:sz w:val="19"/>
                <w:szCs w:val="19"/>
                <w:lang w:val="en-GB" w:eastAsia="en-GB"/>
              </w:rPr>
              <w:t>2.2.</w:t>
            </w:r>
            <w:r w:rsidRPr="00570ACC">
              <w:rPr>
                <w:rFonts w:ascii="Corbel" w:eastAsia="Times New Roman" w:hAnsi="Corbel"/>
                <w:color w:val="000000"/>
                <w:sz w:val="19"/>
                <w:szCs w:val="19"/>
                <w:lang w:val="en-GB" w:eastAsia="en-GB"/>
              </w:rPr>
              <w:t xml:space="preserve"> </w:t>
            </w:r>
            <w:r w:rsidR="0017273C">
              <w:rPr>
                <w:rFonts w:ascii="Corbel" w:eastAsia="Times New Roman" w:hAnsi="Corbel"/>
                <w:b/>
                <w:bCs/>
                <w:color w:val="000000"/>
                <w:sz w:val="19"/>
                <w:szCs w:val="19"/>
                <w:lang w:val="en-GB" w:eastAsia="en-GB"/>
              </w:rPr>
              <w:t>Moderate</w:t>
            </w:r>
            <w:r w:rsidRPr="00570ACC">
              <w:rPr>
                <w:rFonts w:ascii="Corbel" w:eastAsia="Times New Roman" w:hAnsi="Corbel"/>
                <w:color w:val="000000"/>
                <w:sz w:val="19"/>
                <w:szCs w:val="19"/>
                <w:lang w:val="en-GB" w:eastAsia="en-GB"/>
              </w:rPr>
              <w:t xml:space="preserve"> </w:t>
            </w:r>
            <w:r w:rsidR="00F25CEC" w:rsidRPr="00570ACC">
              <w:rPr>
                <w:rFonts w:ascii="Corbel" w:eastAsia="Times New Roman" w:hAnsi="Corbel"/>
                <w:color w:val="000000"/>
                <w:sz w:val="19"/>
                <w:szCs w:val="19"/>
                <w:lang w:val="en-GB" w:eastAsia="en-GB"/>
              </w:rPr>
              <w:t>- Uneven</w:t>
            </w:r>
            <w:r w:rsidRPr="00570ACC">
              <w:rPr>
                <w:rFonts w:ascii="Corbel" w:eastAsia="Times New Roman" w:hAnsi="Corbel"/>
                <w:color w:val="000000"/>
                <w:sz w:val="19"/>
                <w:szCs w:val="19"/>
                <w:lang w:val="en-GB" w:eastAsia="en-GB"/>
              </w:rPr>
              <w:t xml:space="preserve"> </w:t>
            </w:r>
            <w:r w:rsidR="0017273C">
              <w:rPr>
                <w:rFonts w:ascii="Corbel" w:eastAsia="Times New Roman" w:hAnsi="Corbel"/>
                <w:color w:val="000000"/>
                <w:sz w:val="19"/>
                <w:szCs w:val="19"/>
                <w:lang w:val="en-GB" w:eastAsia="en-GB"/>
              </w:rPr>
              <w:t xml:space="preserve">progress </w:t>
            </w:r>
            <w:r w:rsidRPr="00570ACC">
              <w:rPr>
                <w:rFonts w:ascii="Corbel" w:eastAsia="Times New Roman" w:hAnsi="Corbel"/>
                <w:color w:val="000000"/>
                <w:sz w:val="19"/>
                <w:szCs w:val="19"/>
                <w:lang w:val="en-GB" w:eastAsia="en-GB"/>
              </w:rPr>
              <w:t xml:space="preserve">among </w:t>
            </w:r>
            <w:r w:rsidR="0017273C">
              <w:rPr>
                <w:rFonts w:ascii="Corbel" w:eastAsia="Times New Roman" w:hAnsi="Corbel"/>
                <w:color w:val="000000"/>
                <w:sz w:val="19"/>
                <w:szCs w:val="19"/>
                <w:lang w:val="en-GB" w:eastAsia="en-GB"/>
              </w:rPr>
              <w:t>PAFTA members:</w:t>
            </w:r>
          </w:p>
          <w:p w14:paraId="1338E19C" w14:textId="6139B0FD" w:rsidR="00D75FBD" w:rsidRDefault="0017273C" w:rsidP="00FE539C">
            <w:pPr>
              <w:rPr>
                <w:rFonts w:ascii="Corbel" w:eastAsia="Times New Roman" w:hAnsi="Corbel"/>
                <w:color w:val="000000"/>
                <w:sz w:val="19"/>
                <w:szCs w:val="19"/>
                <w:lang w:val="en-GB" w:eastAsia="en-GB"/>
              </w:rPr>
            </w:pPr>
            <w:r>
              <w:rPr>
                <w:rFonts w:ascii="Corbel" w:eastAsia="Times New Roman" w:hAnsi="Corbel"/>
                <w:color w:val="000000"/>
                <w:sz w:val="19"/>
                <w:szCs w:val="19"/>
                <w:lang w:val="en-GB" w:eastAsia="en-GB"/>
              </w:rPr>
              <w:t>1.</w:t>
            </w:r>
            <w:r w:rsidR="00CF6835" w:rsidRPr="00570ACC">
              <w:rPr>
                <w:rFonts w:ascii="Corbel" w:eastAsia="Times New Roman" w:hAnsi="Corbel"/>
                <w:color w:val="000000"/>
                <w:sz w:val="19"/>
                <w:szCs w:val="19"/>
                <w:lang w:val="en-GB" w:eastAsia="en-GB"/>
              </w:rPr>
              <w:t xml:space="preserve"> Jordan progressed on the </w:t>
            </w:r>
            <w:r w:rsidR="008D5094">
              <w:rPr>
                <w:rFonts w:ascii="Corbel" w:eastAsia="Times New Roman" w:hAnsi="Corbel"/>
                <w:color w:val="000000"/>
                <w:sz w:val="19"/>
                <w:szCs w:val="19"/>
                <w:lang w:val="en-GB" w:eastAsia="en-GB"/>
              </w:rPr>
              <w:t xml:space="preserve">national single window and </w:t>
            </w:r>
            <w:r w:rsidR="00CF6835" w:rsidRPr="00570ACC">
              <w:rPr>
                <w:rFonts w:ascii="Corbel" w:eastAsia="Times New Roman" w:hAnsi="Corbel"/>
                <w:color w:val="000000"/>
                <w:sz w:val="19"/>
                <w:szCs w:val="19"/>
                <w:lang w:val="en-GB" w:eastAsia="en-GB"/>
              </w:rPr>
              <w:t>Licensing Hub</w:t>
            </w:r>
          </w:p>
          <w:p w14:paraId="13C6B70F" w14:textId="6B5E6614" w:rsidR="00CF6835" w:rsidRPr="00570ACC" w:rsidRDefault="00D75FBD" w:rsidP="00FE539C">
            <w:pPr>
              <w:rPr>
                <w:rFonts w:ascii="Corbel" w:eastAsia="Times New Roman" w:hAnsi="Corbel"/>
                <w:color w:val="000000"/>
                <w:sz w:val="19"/>
                <w:szCs w:val="19"/>
                <w:lang w:val="en-GB" w:eastAsia="en-GB"/>
              </w:rPr>
            </w:pPr>
            <w:r>
              <w:rPr>
                <w:rFonts w:ascii="Corbel" w:eastAsia="Times New Roman" w:hAnsi="Corbel"/>
                <w:color w:val="000000"/>
                <w:sz w:val="19"/>
                <w:szCs w:val="19"/>
                <w:lang w:val="en-GB" w:eastAsia="en-GB"/>
              </w:rPr>
              <w:t>2.</w:t>
            </w:r>
            <w:r w:rsidR="00CF6835" w:rsidRPr="00570ACC">
              <w:rPr>
                <w:rFonts w:ascii="Corbel" w:eastAsia="Times New Roman" w:hAnsi="Corbel"/>
                <w:color w:val="000000"/>
                <w:sz w:val="19"/>
                <w:szCs w:val="19"/>
                <w:lang w:val="en-GB" w:eastAsia="en-GB"/>
              </w:rPr>
              <w:t xml:space="preserve">Morocco’s review of </w:t>
            </w:r>
            <w:proofErr w:type="spellStart"/>
            <w:r w:rsidR="00CF6835" w:rsidRPr="00570ACC">
              <w:rPr>
                <w:rFonts w:ascii="Corbel" w:eastAsia="Times New Roman" w:hAnsi="Corbel"/>
                <w:color w:val="000000"/>
                <w:sz w:val="19"/>
                <w:szCs w:val="19"/>
                <w:lang w:val="en-GB" w:eastAsia="en-GB"/>
              </w:rPr>
              <w:t>PortNet</w:t>
            </w:r>
            <w:proofErr w:type="spellEnd"/>
            <w:r w:rsidR="00CF6835" w:rsidRPr="00570ACC">
              <w:rPr>
                <w:rFonts w:ascii="Corbel" w:eastAsia="Times New Roman" w:hAnsi="Corbel"/>
                <w:color w:val="000000"/>
                <w:sz w:val="19"/>
                <w:szCs w:val="19"/>
                <w:lang w:val="en-GB" w:eastAsia="en-GB"/>
              </w:rPr>
              <w:t xml:space="preserve"> prompted </w:t>
            </w:r>
            <w:r w:rsidR="009221DB">
              <w:rPr>
                <w:rFonts w:ascii="Corbel" w:eastAsia="Times New Roman" w:hAnsi="Corbel"/>
                <w:color w:val="000000"/>
                <w:sz w:val="19"/>
                <w:szCs w:val="19"/>
                <w:lang w:val="en-GB" w:eastAsia="en-GB"/>
              </w:rPr>
              <w:t>a process for the</w:t>
            </w:r>
            <w:r w:rsidR="00CF6835" w:rsidRPr="00570ACC">
              <w:rPr>
                <w:rFonts w:ascii="Corbel" w:eastAsia="Times New Roman" w:hAnsi="Corbel"/>
                <w:color w:val="000000"/>
                <w:sz w:val="19"/>
                <w:szCs w:val="19"/>
                <w:lang w:val="en-GB" w:eastAsia="en-GB"/>
              </w:rPr>
              <w:t xml:space="preserve"> adoption of </w:t>
            </w:r>
            <w:r w:rsidR="009221DB">
              <w:rPr>
                <w:rFonts w:ascii="Corbel" w:eastAsia="Times New Roman" w:hAnsi="Corbel"/>
                <w:color w:val="000000"/>
                <w:sz w:val="19"/>
                <w:szCs w:val="19"/>
                <w:lang w:val="en-GB" w:eastAsia="en-GB"/>
              </w:rPr>
              <w:t>p</w:t>
            </w:r>
            <w:r w:rsidR="00CF6835" w:rsidRPr="00570ACC">
              <w:rPr>
                <w:rFonts w:ascii="Corbel" w:eastAsia="Times New Roman" w:hAnsi="Corbel"/>
                <w:color w:val="000000"/>
                <w:sz w:val="19"/>
                <w:szCs w:val="19"/>
                <w:lang w:val="en-GB" w:eastAsia="en-GB"/>
              </w:rPr>
              <w:t xml:space="preserve">re-arrival clearances. </w:t>
            </w:r>
          </w:p>
        </w:tc>
        <w:tc>
          <w:tcPr>
            <w:tcW w:w="851" w:type="dxa"/>
            <w:tcBorders>
              <w:top w:val="nil"/>
              <w:left w:val="nil"/>
              <w:bottom w:val="single" w:sz="4" w:space="0" w:color="auto"/>
              <w:right w:val="single" w:sz="4" w:space="0" w:color="auto"/>
            </w:tcBorders>
            <w:shd w:val="clear" w:color="000000" w:fill="EBF1DE"/>
            <w:vAlign w:val="center"/>
            <w:hideMark/>
          </w:tcPr>
          <w:p w14:paraId="496979EA" w14:textId="77777777" w:rsidR="00CF6835" w:rsidRPr="00570ACC" w:rsidRDefault="00CF6835" w:rsidP="00FE539C">
            <w:pPr>
              <w:rPr>
                <w:rFonts w:ascii="Corbel" w:eastAsia="Times New Roman" w:hAnsi="Corbel"/>
                <w:color w:val="000000"/>
                <w:sz w:val="19"/>
                <w:szCs w:val="19"/>
                <w:lang w:val="en-GB" w:eastAsia="en-GB"/>
              </w:rPr>
            </w:pPr>
            <w:r w:rsidRPr="00570ACC">
              <w:rPr>
                <w:rFonts w:ascii="Corbel" w:eastAsia="Times New Roman" w:hAnsi="Corbel"/>
                <w:color w:val="000000"/>
                <w:sz w:val="19"/>
                <w:szCs w:val="19"/>
                <w:lang w:val="en-GB" w:eastAsia="en-GB"/>
              </w:rPr>
              <w:t xml:space="preserve">2.2 </w:t>
            </w:r>
            <w:r w:rsidRPr="00570ACC">
              <w:rPr>
                <w:rFonts w:ascii="Corbel" w:eastAsia="Times New Roman" w:hAnsi="Corbel"/>
                <w:b/>
                <w:bCs/>
                <w:color w:val="000000"/>
                <w:sz w:val="19"/>
                <w:szCs w:val="19"/>
                <w:lang w:val="en-GB" w:eastAsia="en-GB"/>
              </w:rPr>
              <w:t>High</w:t>
            </w:r>
            <w:r w:rsidRPr="00570ACC">
              <w:rPr>
                <w:rFonts w:ascii="Corbel" w:eastAsia="Times New Roman" w:hAnsi="Corbel"/>
                <w:color w:val="000000"/>
                <w:sz w:val="19"/>
                <w:szCs w:val="19"/>
                <w:lang w:val="en-GB" w:eastAsia="en-GB"/>
              </w:rPr>
              <w:t xml:space="preserve"> </w:t>
            </w:r>
          </w:p>
        </w:tc>
        <w:tc>
          <w:tcPr>
            <w:tcW w:w="2517" w:type="dxa"/>
            <w:tcBorders>
              <w:top w:val="nil"/>
              <w:left w:val="nil"/>
              <w:bottom w:val="single" w:sz="4" w:space="0" w:color="auto"/>
              <w:right w:val="single" w:sz="4" w:space="0" w:color="auto"/>
            </w:tcBorders>
            <w:shd w:val="clear" w:color="000000" w:fill="EBF1DE"/>
            <w:vAlign w:val="center"/>
            <w:hideMark/>
          </w:tcPr>
          <w:p w14:paraId="6E76DA13" w14:textId="77777777" w:rsidR="00CF6835" w:rsidRPr="00570ACC" w:rsidRDefault="00CF6835" w:rsidP="00FE539C">
            <w:pPr>
              <w:rPr>
                <w:rFonts w:ascii="Corbel" w:eastAsia="Times New Roman" w:hAnsi="Corbel"/>
                <w:color w:val="000000"/>
                <w:sz w:val="19"/>
                <w:szCs w:val="19"/>
                <w:lang w:val="en-GB" w:eastAsia="en-GB"/>
              </w:rPr>
            </w:pPr>
            <w:r w:rsidRPr="00570ACC">
              <w:rPr>
                <w:rFonts w:ascii="Corbel" w:eastAsia="Times New Roman" w:hAnsi="Corbel"/>
                <w:color w:val="000000"/>
                <w:sz w:val="19"/>
                <w:szCs w:val="19"/>
                <w:lang w:val="en-GB" w:eastAsia="en-GB"/>
              </w:rPr>
              <w:t xml:space="preserve">2.2 </w:t>
            </w:r>
            <w:r w:rsidRPr="00570ACC">
              <w:rPr>
                <w:rFonts w:ascii="Corbel" w:eastAsia="Times New Roman" w:hAnsi="Corbel"/>
                <w:b/>
                <w:bCs/>
                <w:color w:val="000000"/>
                <w:sz w:val="19"/>
                <w:szCs w:val="19"/>
                <w:lang w:val="en-GB" w:eastAsia="en-GB"/>
              </w:rPr>
              <w:t>High</w:t>
            </w:r>
            <w:r w:rsidRPr="00570ACC">
              <w:rPr>
                <w:rFonts w:ascii="Corbel" w:eastAsia="Times New Roman" w:hAnsi="Corbel"/>
                <w:color w:val="000000"/>
                <w:sz w:val="19"/>
                <w:szCs w:val="19"/>
                <w:lang w:val="en-GB" w:eastAsia="en-GB"/>
              </w:rPr>
              <w:t xml:space="preserve"> – The project contributed to;</w:t>
            </w:r>
          </w:p>
          <w:p w14:paraId="5708C1ED" w14:textId="2AB6AC0D" w:rsidR="00B558BA" w:rsidRDefault="00B558BA" w:rsidP="00FE539C">
            <w:pPr>
              <w:rPr>
                <w:rFonts w:ascii="Corbel" w:eastAsia="Times New Roman" w:hAnsi="Corbel"/>
                <w:color w:val="000000"/>
                <w:sz w:val="19"/>
                <w:szCs w:val="19"/>
                <w:lang w:val="en-GB" w:eastAsia="en-GB"/>
              </w:rPr>
            </w:pPr>
            <w:r>
              <w:rPr>
                <w:rFonts w:ascii="Corbel" w:eastAsia="Times New Roman" w:hAnsi="Corbel"/>
                <w:color w:val="000000"/>
                <w:sz w:val="19"/>
                <w:szCs w:val="19"/>
                <w:lang w:val="en-GB" w:eastAsia="en-GB"/>
              </w:rPr>
              <w:t>1. G</w:t>
            </w:r>
            <w:r w:rsidRPr="00B558BA">
              <w:rPr>
                <w:rFonts w:ascii="Corbel" w:eastAsia="Times New Roman" w:hAnsi="Corbel"/>
                <w:color w:val="000000"/>
                <w:sz w:val="19"/>
                <w:szCs w:val="19"/>
                <w:lang w:val="en-GB" w:eastAsia="en-GB"/>
              </w:rPr>
              <w:t>uidelines on the cumulation of rules of origin</w:t>
            </w:r>
            <w:r>
              <w:rPr>
                <w:rFonts w:ascii="Corbel" w:eastAsia="Times New Roman" w:hAnsi="Corbel"/>
                <w:color w:val="000000"/>
                <w:sz w:val="19"/>
                <w:szCs w:val="19"/>
                <w:lang w:val="en-GB" w:eastAsia="en-GB"/>
              </w:rPr>
              <w:t xml:space="preserve"> adopted by LAS member states</w:t>
            </w:r>
          </w:p>
          <w:p w14:paraId="6926A9BF" w14:textId="5C1C8F04" w:rsidR="00CF6835" w:rsidRPr="00570ACC" w:rsidRDefault="00B558BA" w:rsidP="00FE539C">
            <w:pPr>
              <w:rPr>
                <w:rFonts w:ascii="Corbel" w:eastAsia="Times New Roman" w:hAnsi="Corbel"/>
                <w:color w:val="000000"/>
                <w:sz w:val="19"/>
                <w:szCs w:val="19"/>
                <w:lang w:val="en-GB" w:eastAsia="en-GB"/>
              </w:rPr>
            </w:pPr>
            <w:r>
              <w:rPr>
                <w:rFonts w:ascii="Corbel" w:eastAsia="Times New Roman" w:hAnsi="Corbel"/>
                <w:color w:val="000000"/>
                <w:sz w:val="19"/>
                <w:szCs w:val="19"/>
                <w:lang w:val="en-GB" w:eastAsia="en-GB"/>
              </w:rPr>
              <w:t>2</w:t>
            </w:r>
            <w:r w:rsidR="00CF6835" w:rsidRPr="00570ACC">
              <w:rPr>
                <w:rFonts w:ascii="Corbel" w:eastAsia="Times New Roman" w:hAnsi="Corbel"/>
                <w:color w:val="000000"/>
                <w:sz w:val="19"/>
                <w:szCs w:val="19"/>
                <w:lang w:val="en-GB" w:eastAsia="en-GB"/>
              </w:rPr>
              <w:t xml:space="preserve">. Roadmap </w:t>
            </w:r>
            <w:r w:rsidR="00476D01">
              <w:rPr>
                <w:rFonts w:ascii="Corbel" w:eastAsia="Times New Roman" w:hAnsi="Corbel"/>
                <w:color w:val="000000"/>
                <w:sz w:val="19"/>
                <w:szCs w:val="19"/>
                <w:lang w:val="en-GB" w:eastAsia="en-GB"/>
              </w:rPr>
              <w:t>for the</w:t>
            </w:r>
            <w:r w:rsidR="00CF6835" w:rsidRPr="00570ACC">
              <w:rPr>
                <w:rFonts w:ascii="Corbel" w:eastAsia="Times New Roman" w:hAnsi="Corbel"/>
                <w:color w:val="000000"/>
                <w:sz w:val="19"/>
                <w:szCs w:val="19"/>
                <w:lang w:val="en-GB" w:eastAsia="en-GB"/>
              </w:rPr>
              <w:t xml:space="preserve"> Jordan Single Window</w:t>
            </w:r>
            <w:r w:rsidR="00C95C65">
              <w:rPr>
                <w:rFonts w:ascii="Corbel" w:eastAsia="Times New Roman" w:hAnsi="Corbel"/>
                <w:color w:val="000000"/>
                <w:sz w:val="19"/>
                <w:szCs w:val="19"/>
                <w:lang w:val="en-GB" w:eastAsia="en-GB"/>
              </w:rPr>
              <w:t>, pre-arrival clearance adopted</w:t>
            </w:r>
            <w:r w:rsidR="00476D01">
              <w:rPr>
                <w:rFonts w:ascii="Corbel" w:eastAsia="Times New Roman" w:hAnsi="Corbel"/>
                <w:color w:val="000000"/>
                <w:sz w:val="19"/>
                <w:szCs w:val="19"/>
                <w:lang w:val="en-GB" w:eastAsia="en-GB"/>
              </w:rPr>
              <w:t xml:space="preserve"> and licencing hub operational.</w:t>
            </w:r>
          </w:p>
          <w:p w14:paraId="52F70056" w14:textId="0BEBA4CB" w:rsidR="00CF6835" w:rsidRDefault="00B558BA" w:rsidP="00FE539C">
            <w:pPr>
              <w:rPr>
                <w:rFonts w:ascii="Corbel" w:eastAsia="Times New Roman" w:hAnsi="Corbel"/>
                <w:color w:val="000000"/>
                <w:sz w:val="19"/>
                <w:szCs w:val="19"/>
                <w:lang w:val="en-GB" w:eastAsia="en-GB"/>
              </w:rPr>
            </w:pPr>
            <w:r>
              <w:rPr>
                <w:rFonts w:ascii="Corbel" w:eastAsia="Times New Roman" w:hAnsi="Corbel"/>
                <w:color w:val="000000"/>
                <w:sz w:val="19"/>
                <w:szCs w:val="19"/>
                <w:lang w:val="en-GB" w:eastAsia="en-GB"/>
              </w:rPr>
              <w:t>3</w:t>
            </w:r>
            <w:r w:rsidR="00CF6835" w:rsidRPr="00570ACC">
              <w:rPr>
                <w:rFonts w:ascii="Corbel" w:eastAsia="Times New Roman" w:hAnsi="Corbel"/>
                <w:color w:val="000000"/>
                <w:sz w:val="19"/>
                <w:szCs w:val="19"/>
                <w:lang w:val="en-GB" w:eastAsia="en-GB"/>
              </w:rPr>
              <w:t xml:space="preserve">. </w:t>
            </w:r>
            <w:r w:rsidR="00046AC5">
              <w:rPr>
                <w:rFonts w:ascii="Corbel" w:eastAsia="Times New Roman" w:hAnsi="Corbel"/>
                <w:color w:val="000000"/>
                <w:sz w:val="19"/>
                <w:szCs w:val="19"/>
                <w:lang w:val="en-GB" w:eastAsia="en-GB"/>
              </w:rPr>
              <w:t>Memorandum of Understanding of the</w:t>
            </w:r>
            <w:r w:rsidR="00CF6835" w:rsidRPr="00570ACC">
              <w:rPr>
                <w:rFonts w:ascii="Corbel" w:eastAsia="Times New Roman" w:hAnsi="Corbel"/>
                <w:color w:val="000000"/>
                <w:sz w:val="19"/>
                <w:szCs w:val="19"/>
                <w:lang w:val="en-GB" w:eastAsia="en-GB"/>
              </w:rPr>
              <w:t xml:space="preserve"> </w:t>
            </w:r>
            <w:proofErr w:type="spellStart"/>
            <w:r w:rsidR="00CF6835" w:rsidRPr="00570ACC">
              <w:rPr>
                <w:rFonts w:ascii="Corbel" w:eastAsia="Times New Roman" w:hAnsi="Corbel"/>
                <w:color w:val="000000"/>
                <w:sz w:val="19"/>
                <w:szCs w:val="19"/>
                <w:lang w:val="en-GB" w:eastAsia="en-GB"/>
              </w:rPr>
              <w:t>Nuweibae</w:t>
            </w:r>
            <w:proofErr w:type="spellEnd"/>
            <w:r w:rsidR="00CF6835" w:rsidRPr="00570ACC">
              <w:rPr>
                <w:rFonts w:ascii="Corbel" w:eastAsia="Times New Roman" w:hAnsi="Corbel"/>
                <w:color w:val="000000"/>
                <w:sz w:val="19"/>
                <w:szCs w:val="19"/>
                <w:lang w:val="en-GB" w:eastAsia="en-GB"/>
              </w:rPr>
              <w:t>- Aqaba</w:t>
            </w:r>
            <w:r w:rsidR="00046AC5">
              <w:rPr>
                <w:rFonts w:ascii="Corbel" w:eastAsia="Times New Roman" w:hAnsi="Corbel"/>
                <w:color w:val="000000"/>
                <w:sz w:val="19"/>
                <w:szCs w:val="19"/>
                <w:lang w:val="en-GB" w:eastAsia="en-GB"/>
              </w:rPr>
              <w:t xml:space="preserve"> corridor</w:t>
            </w:r>
            <w:r w:rsidR="00CF6835" w:rsidRPr="00570ACC">
              <w:rPr>
                <w:rFonts w:ascii="Corbel" w:eastAsia="Times New Roman" w:hAnsi="Corbel"/>
                <w:color w:val="000000"/>
                <w:sz w:val="19"/>
                <w:szCs w:val="19"/>
                <w:lang w:val="en-GB" w:eastAsia="en-GB"/>
              </w:rPr>
              <w:t>. ready for signing.</w:t>
            </w:r>
          </w:p>
          <w:p w14:paraId="7441459E" w14:textId="715AED19" w:rsidR="00CF6835" w:rsidRPr="00570ACC" w:rsidRDefault="00B558BA" w:rsidP="00FE539C">
            <w:pPr>
              <w:rPr>
                <w:rFonts w:ascii="Corbel" w:eastAsia="Times New Roman" w:hAnsi="Corbel"/>
                <w:color w:val="000000"/>
                <w:sz w:val="19"/>
                <w:szCs w:val="19"/>
                <w:lang w:val="en-GB" w:eastAsia="en-GB"/>
              </w:rPr>
            </w:pPr>
            <w:r>
              <w:rPr>
                <w:rFonts w:ascii="Corbel" w:eastAsia="Times New Roman" w:hAnsi="Corbel"/>
                <w:color w:val="000000"/>
                <w:sz w:val="19"/>
                <w:szCs w:val="19"/>
                <w:lang w:val="en-GB" w:eastAsia="en-GB"/>
              </w:rPr>
              <w:lastRenderedPageBreak/>
              <w:t>4</w:t>
            </w:r>
            <w:r w:rsidR="00D60525" w:rsidRPr="00570ACC">
              <w:rPr>
                <w:rFonts w:ascii="Corbel" w:eastAsia="Times New Roman" w:hAnsi="Corbel"/>
                <w:color w:val="000000"/>
                <w:sz w:val="19"/>
                <w:szCs w:val="19"/>
                <w:lang w:val="en-GB" w:eastAsia="en-GB"/>
              </w:rPr>
              <w:t xml:space="preserve">. Design and adoption of </w:t>
            </w:r>
            <w:r w:rsidR="00D60525">
              <w:rPr>
                <w:rFonts w:ascii="Corbel" w:eastAsia="Times New Roman" w:hAnsi="Corbel"/>
                <w:color w:val="000000"/>
                <w:sz w:val="19"/>
                <w:szCs w:val="19"/>
                <w:lang w:val="en-GB" w:eastAsia="en-GB"/>
              </w:rPr>
              <w:t xml:space="preserve">the </w:t>
            </w:r>
            <w:r w:rsidR="00421A83">
              <w:rPr>
                <w:rFonts w:ascii="Corbel" w:eastAsia="Times New Roman" w:hAnsi="Corbel"/>
                <w:color w:val="000000"/>
                <w:sz w:val="19"/>
                <w:szCs w:val="19"/>
                <w:lang w:val="en-GB" w:eastAsia="en-GB"/>
              </w:rPr>
              <w:t xml:space="preserve">Morocco </w:t>
            </w:r>
            <w:proofErr w:type="spellStart"/>
            <w:r w:rsidR="00421A83" w:rsidRPr="00570ACC">
              <w:rPr>
                <w:rFonts w:ascii="Corbel" w:eastAsia="Times New Roman" w:hAnsi="Corbel"/>
                <w:color w:val="000000"/>
                <w:sz w:val="19"/>
                <w:szCs w:val="19"/>
                <w:lang w:val="en-GB" w:eastAsia="en-GB"/>
              </w:rPr>
              <w:t>PortNet</w:t>
            </w:r>
            <w:proofErr w:type="spellEnd"/>
            <w:r w:rsidR="00D60525" w:rsidRPr="00570ACC">
              <w:rPr>
                <w:rFonts w:ascii="Corbel" w:eastAsia="Times New Roman" w:hAnsi="Corbel"/>
                <w:color w:val="000000"/>
                <w:sz w:val="19"/>
                <w:szCs w:val="19"/>
                <w:lang w:val="en-GB" w:eastAsia="en-GB"/>
              </w:rPr>
              <w:t xml:space="preserve"> </w:t>
            </w:r>
            <w:r w:rsidR="00421A83" w:rsidRPr="00570ACC">
              <w:rPr>
                <w:rFonts w:ascii="Corbel" w:eastAsia="Times New Roman" w:hAnsi="Corbel"/>
                <w:color w:val="000000"/>
                <w:sz w:val="19"/>
                <w:szCs w:val="19"/>
                <w:lang w:val="en-GB" w:eastAsia="en-GB"/>
              </w:rPr>
              <w:t>performance assessment</w:t>
            </w:r>
          </w:p>
        </w:tc>
      </w:tr>
    </w:tbl>
    <w:p w14:paraId="71E60532" w14:textId="77777777" w:rsidR="00AF2FAE" w:rsidRDefault="00AF2FAE" w:rsidP="00E47EA3">
      <w:pPr>
        <w:spacing w:line="276" w:lineRule="auto"/>
        <w:jc w:val="both"/>
        <w:outlineLvl w:val="0"/>
        <w:rPr>
          <w:rFonts w:ascii="Corbel" w:hAnsi="Corbel" w:cs="Arial"/>
          <w:b/>
          <w:bCs/>
          <w:sz w:val="22"/>
          <w:szCs w:val="22"/>
          <w:lang w:val="en-GB"/>
        </w:rPr>
      </w:pPr>
    </w:p>
    <w:p w14:paraId="2FB615B2" w14:textId="139C6547" w:rsidR="00270A41" w:rsidRPr="00D2664E" w:rsidRDefault="00512CB3" w:rsidP="00E47EA3">
      <w:pPr>
        <w:spacing w:line="276" w:lineRule="auto"/>
        <w:jc w:val="both"/>
        <w:outlineLvl w:val="0"/>
        <w:rPr>
          <w:rFonts w:ascii="Corbel" w:hAnsi="Corbel" w:cs="Arial"/>
          <w:b/>
          <w:bCs/>
          <w:sz w:val="22"/>
          <w:szCs w:val="22"/>
          <w:u w:val="single"/>
          <w:lang w:val="en-GB"/>
        </w:rPr>
      </w:pPr>
      <w:bookmarkStart w:id="67" w:name="_Toc103506607"/>
      <w:r w:rsidRPr="00D2664E">
        <w:rPr>
          <w:rFonts w:ascii="Corbel" w:hAnsi="Corbel" w:cs="Arial"/>
          <w:b/>
          <w:bCs/>
          <w:sz w:val="22"/>
          <w:szCs w:val="22"/>
          <w:u w:val="single"/>
          <w:lang w:val="en-GB"/>
        </w:rPr>
        <w:t>Outcome 3: Engagement of key development actors ensured through inclusive and transparent processes for regional economic integration.</w:t>
      </w:r>
      <w:bookmarkEnd w:id="67"/>
    </w:p>
    <w:p w14:paraId="22ABE095" w14:textId="2E4F409F" w:rsidR="00F66F70" w:rsidRDefault="00B27D61" w:rsidP="00E47EA3">
      <w:pPr>
        <w:spacing w:line="276" w:lineRule="auto"/>
        <w:jc w:val="both"/>
        <w:outlineLvl w:val="0"/>
        <w:rPr>
          <w:rFonts w:ascii="Corbel" w:hAnsi="Corbel" w:cs="Arial"/>
          <w:sz w:val="22"/>
          <w:szCs w:val="22"/>
          <w:lang w:val="en-GB"/>
        </w:rPr>
      </w:pPr>
      <w:bookmarkStart w:id="68" w:name="_Toc103506608"/>
      <w:r w:rsidRPr="4F6DD0A6">
        <w:rPr>
          <w:rFonts w:ascii="Corbel" w:hAnsi="Corbel" w:cs="Arial"/>
          <w:sz w:val="22"/>
          <w:szCs w:val="22"/>
          <w:lang w:val="en-GB"/>
        </w:rPr>
        <w:t>Improvement of regulatory transparency and fostering Voluntary Compliance through the progressive upgrade of the trade governance framework in the region</w:t>
      </w:r>
      <w:r w:rsidR="004C3A16" w:rsidRPr="4F6DD0A6">
        <w:rPr>
          <w:rFonts w:ascii="Corbel" w:hAnsi="Corbel" w:cs="Arial"/>
          <w:sz w:val="22"/>
          <w:szCs w:val="22"/>
          <w:lang w:val="en-GB"/>
        </w:rPr>
        <w:t xml:space="preserve"> </w:t>
      </w:r>
      <w:r w:rsidRPr="4F6DD0A6">
        <w:rPr>
          <w:rFonts w:ascii="Corbel" w:hAnsi="Corbel" w:cs="Arial"/>
          <w:sz w:val="22"/>
          <w:szCs w:val="22"/>
          <w:lang w:val="en-GB"/>
        </w:rPr>
        <w:t xml:space="preserve">are essential to deepen Arab economic integration </w:t>
      </w:r>
      <w:r w:rsidR="004C3A16" w:rsidRPr="4F6DD0A6">
        <w:rPr>
          <w:rFonts w:ascii="Corbel" w:hAnsi="Corbel" w:cs="Arial"/>
          <w:sz w:val="22"/>
          <w:szCs w:val="22"/>
          <w:lang w:val="en-GB"/>
        </w:rPr>
        <w:t xml:space="preserve">and the trust of trade operators within and outside the region, </w:t>
      </w:r>
      <w:r w:rsidRPr="4F6DD0A6">
        <w:rPr>
          <w:rFonts w:ascii="Corbel" w:hAnsi="Corbel" w:cs="Arial"/>
          <w:sz w:val="22"/>
          <w:szCs w:val="22"/>
          <w:lang w:val="en-GB"/>
        </w:rPr>
        <w:t>in response to new dynamics of international trade.</w:t>
      </w:r>
      <w:r w:rsidR="004C3A16" w:rsidRPr="4F6DD0A6">
        <w:rPr>
          <w:rFonts w:ascii="Corbel" w:hAnsi="Corbel" w:cs="Arial"/>
          <w:sz w:val="22"/>
          <w:szCs w:val="22"/>
          <w:lang w:val="en-GB"/>
        </w:rPr>
        <w:t xml:space="preserve"> </w:t>
      </w:r>
      <w:r w:rsidR="00F66F70" w:rsidRPr="4F6DD0A6">
        <w:rPr>
          <w:rFonts w:ascii="Corbel" w:hAnsi="Corbel" w:cs="Arial"/>
          <w:sz w:val="22"/>
          <w:szCs w:val="22"/>
          <w:lang w:val="en-GB"/>
        </w:rPr>
        <w:t>Rather than major steps forward</w:t>
      </w:r>
      <w:r w:rsidR="004C3A16" w:rsidRPr="4F6DD0A6">
        <w:rPr>
          <w:rFonts w:ascii="Corbel" w:hAnsi="Corbel" w:cs="Arial"/>
          <w:sz w:val="22"/>
          <w:szCs w:val="22"/>
          <w:lang w:val="en-GB"/>
        </w:rPr>
        <w:t xml:space="preserve"> in this area</w:t>
      </w:r>
      <w:r w:rsidR="00F66F70" w:rsidRPr="4F6DD0A6">
        <w:rPr>
          <w:rFonts w:ascii="Corbel" w:hAnsi="Corbel" w:cs="Arial"/>
          <w:sz w:val="22"/>
          <w:szCs w:val="22"/>
          <w:lang w:val="en-GB"/>
        </w:rPr>
        <w:t xml:space="preserve">, during its implementation the project contributed to </w:t>
      </w:r>
      <w:r w:rsidR="000D79F7" w:rsidRPr="4F6DD0A6">
        <w:rPr>
          <w:rFonts w:ascii="Corbel" w:hAnsi="Corbel" w:cs="Arial"/>
          <w:sz w:val="22"/>
          <w:szCs w:val="22"/>
          <w:lang w:val="en-GB"/>
        </w:rPr>
        <w:t>some</w:t>
      </w:r>
      <w:r w:rsidR="00F66F70" w:rsidRPr="4F6DD0A6">
        <w:rPr>
          <w:rFonts w:ascii="Corbel" w:hAnsi="Corbel" w:cs="Arial"/>
          <w:sz w:val="22"/>
          <w:szCs w:val="22"/>
          <w:lang w:val="en-GB"/>
        </w:rPr>
        <w:t xml:space="preserve"> improvement in </w:t>
      </w:r>
      <w:r w:rsidR="000D79F7" w:rsidRPr="4F6DD0A6">
        <w:rPr>
          <w:rFonts w:ascii="Corbel" w:hAnsi="Corbel" w:cs="Arial"/>
          <w:sz w:val="22"/>
          <w:szCs w:val="22"/>
          <w:lang w:val="en-GB"/>
        </w:rPr>
        <w:t xml:space="preserve">trade-measures </w:t>
      </w:r>
      <w:r w:rsidR="00F66F70" w:rsidRPr="4F6DD0A6">
        <w:rPr>
          <w:rFonts w:ascii="Corbel" w:hAnsi="Corbel" w:cs="Arial"/>
          <w:sz w:val="22"/>
          <w:szCs w:val="22"/>
          <w:lang w:val="en-GB"/>
        </w:rPr>
        <w:t>transparency</w:t>
      </w:r>
      <w:r w:rsidR="000D79F7" w:rsidRPr="4F6DD0A6">
        <w:rPr>
          <w:rFonts w:ascii="Corbel" w:hAnsi="Corbel" w:cs="Arial"/>
          <w:sz w:val="22"/>
          <w:szCs w:val="22"/>
          <w:lang w:val="en-GB"/>
        </w:rPr>
        <w:t>,</w:t>
      </w:r>
      <w:r w:rsidR="00F66F70" w:rsidRPr="4F6DD0A6">
        <w:rPr>
          <w:rFonts w:ascii="Corbel" w:hAnsi="Corbel" w:cs="Arial"/>
          <w:sz w:val="22"/>
          <w:szCs w:val="22"/>
          <w:lang w:val="en-GB"/>
        </w:rPr>
        <w:t xml:space="preserve"> as manifested in the decision by LAS ECOSOC to </w:t>
      </w:r>
      <w:r w:rsidR="00475E54" w:rsidRPr="4F6DD0A6">
        <w:rPr>
          <w:rFonts w:ascii="Corbel" w:hAnsi="Corbel" w:cs="Arial"/>
          <w:sz w:val="22"/>
          <w:szCs w:val="22"/>
          <w:lang w:val="en-GB"/>
        </w:rPr>
        <w:t>activate a new modality of</w:t>
      </w:r>
      <w:r w:rsidR="00F66F70" w:rsidRPr="4F6DD0A6">
        <w:rPr>
          <w:rFonts w:ascii="Corbel" w:hAnsi="Corbel" w:cs="Arial"/>
          <w:sz w:val="22"/>
          <w:szCs w:val="22"/>
          <w:lang w:val="en-GB"/>
        </w:rPr>
        <w:t xml:space="preserve"> notification </w:t>
      </w:r>
      <w:r w:rsidR="00475E54" w:rsidRPr="4F6DD0A6">
        <w:rPr>
          <w:rFonts w:ascii="Corbel" w:hAnsi="Corbel" w:cs="Arial"/>
          <w:sz w:val="22"/>
          <w:szCs w:val="22"/>
          <w:lang w:val="en-GB"/>
        </w:rPr>
        <w:t>of chan</w:t>
      </w:r>
      <w:r w:rsidR="00030399">
        <w:rPr>
          <w:rFonts w:ascii="Corbel" w:hAnsi="Corbel" w:cs="Arial"/>
          <w:sz w:val="22"/>
          <w:szCs w:val="22"/>
          <w:lang w:val="en-GB"/>
        </w:rPr>
        <w:t>g</w:t>
      </w:r>
      <w:r w:rsidR="00475E54" w:rsidRPr="4F6DD0A6">
        <w:rPr>
          <w:rFonts w:ascii="Corbel" w:hAnsi="Corbel" w:cs="Arial"/>
          <w:sz w:val="22"/>
          <w:szCs w:val="22"/>
          <w:lang w:val="en-GB"/>
        </w:rPr>
        <w:t xml:space="preserve">es in </w:t>
      </w:r>
      <w:r w:rsidR="00F66F70" w:rsidRPr="4F6DD0A6">
        <w:rPr>
          <w:rFonts w:ascii="Corbel" w:hAnsi="Corbel" w:cs="Arial"/>
          <w:sz w:val="22"/>
          <w:szCs w:val="22"/>
          <w:lang w:val="en-GB"/>
        </w:rPr>
        <w:t xml:space="preserve">procedures </w:t>
      </w:r>
      <w:r w:rsidR="00EF167C" w:rsidRPr="4F6DD0A6">
        <w:rPr>
          <w:rFonts w:ascii="Corbel" w:hAnsi="Corbel" w:cs="Arial"/>
          <w:sz w:val="22"/>
          <w:szCs w:val="22"/>
          <w:lang w:val="en-GB"/>
        </w:rPr>
        <w:t>and</w:t>
      </w:r>
      <w:r w:rsidR="00F66F70" w:rsidRPr="4F6DD0A6">
        <w:rPr>
          <w:rFonts w:ascii="Corbel" w:hAnsi="Corbel" w:cs="Arial"/>
          <w:sz w:val="22"/>
          <w:szCs w:val="22"/>
          <w:lang w:val="en-GB"/>
        </w:rPr>
        <w:t xml:space="preserve"> new trade regulations implemented by member countries. </w:t>
      </w:r>
      <w:r w:rsidR="00286B45" w:rsidRPr="4F6DD0A6">
        <w:rPr>
          <w:rFonts w:ascii="Corbel" w:hAnsi="Corbel" w:cs="Arial"/>
          <w:sz w:val="22"/>
          <w:szCs w:val="22"/>
          <w:lang w:val="en-GB"/>
        </w:rPr>
        <w:t xml:space="preserve">This is aimed at facilitating adjustments and limiting disruptions in times of sudden changes, such as during a </w:t>
      </w:r>
      <w:r w:rsidR="00A16E2B" w:rsidRPr="4F6DD0A6">
        <w:rPr>
          <w:rFonts w:ascii="Corbel" w:hAnsi="Corbel" w:cs="Arial"/>
          <w:sz w:val="22"/>
          <w:szCs w:val="22"/>
          <w:lang w:val="en-GB"/>
        </w:rPr>
        <w:t>pandemic. Within</w:t>
      </w:r>
      <w:r w:rsidR="00BB09E3" w:rsidRPr="4F6DD0A6">
        <w:rPr>
          <w:rFonts w:ascii="Corbel" w:hAnsi="Corbel" w:cs="Arial"/>
          <w:sz w:val="22"/>
          <w:szCs w:val="22"/>
          <w:lang w:val="en-GB"/>
        </w:rPr>
        <w:t xml:space="preserve"> this new framework, </w:t>
      </w:r>
      <w:r w:rsidR="00F66F70" w:rsidRPr="4F6DD0A6">
        <w:rPr>
          <w:rFonts w:ascii="Corbel" w:hAnsi="Corbel" w:cs="Arial"/>
          <w:sz w:val="22"/>
          <w:szCs w:val="22"/>
          <w:lang w:val="en-GB"/>
        </w:rPr>
        <w:t xml:space="preserve">Member States, </w:t>
      </w:r>
      <w:r w:rsidR="00A16E2B" w:rsidRPr="4F6DD0A6">
        <w:rPr>
          <w:rFonts w:ascii="Corbel" w:hAnsi="Corbel" w:cs="Arial"/>
          <w:sz w:val="22"/>
          <w:szCs w:val="22"/>
          <w:lang w:val="en-GB"/>
        </w:rPr>
        <w:t>except for</w:t>
      </w:r>
      <w:r w:rsidR="00F66F70" w:rsidRPr="4F6DD0A6">
        <w:rPr>
          <w:rFonts w:ascii="Corbel" w:hAnsi="Corbel" w:cs="Arial"/>
          <w:sz w:val="22"/>
          <w:szCs w:val="22"/>
          <w:lang w:val="en-GB"/>
        </w:rPr>
        <w:t xml:space="preserve"> Algeria, </w:t>
      </w:r>
      <w:r w:rsidR="00A16E2B" w:rsidRPr="4F6DD0A6">
        <w:rPr>
          <w:rFonts w:ascii="Corbel" w:hAnsi="Corbel" w:cs="Arial"/>
          <w:sz w:val="22"/>
          <w:szCs w:val="22"/>
          <w:lang w:val="en-GB"/>
        </w:rPr>
        <w:t>Iraq,</w:t>
      </w:r>
      <w:r w:rsidR="00F66F70" w:rsidRPr="4F6DD0A6">
        <w:rPr>
          <w:rFonts w:ascii="Corbel" w:hAnsi="Corbel" w:cs="Arial"/>
          <w:sz w:val="22"/>
          <w:szCs w:val="22"/>
          <w:lang w:val="en-GB"/>
        </w:rPr>
        <w:t xml:space="preserve"> and Yemen, submitted the electronic links of national regulations to LAS for distribution to all countries.</w:t>
      </w:r>
      <w:bookmarkEnd w:id="68"/>
      <w:r w:rsidR="008F1E34" w:rsidRPr="4F6DD0A6">
        <w:rPr>
          <w:rFonts w:ascii="Corbel" w:hAnsi="Corbel" w:cs="Arial"/>
          <w:sz w:val="22"/>
          <w:szCs w:val="22"/>
          <w:lang w:val="en-GB"/>
        </w:rPr>
        <w:t xml:space="preserve"> </w:t>
      </w:r>
    </w:p>
    <w:p w14:paraId="2F40A854" w14:textId="77777777" w:rsidR="00A03ED9" w:rsidRDefault="00A03ED9" w:rsidP="00E47EA3">
      <w:pPr>
        <w:spacing w:line="276" w:lineRule="auto"/>
        <w:jc w:val="both"/>
        <w:outlineLvl w:val="0"/>
        <w:rPr>
          <w:rFonts w:ascii="Corbel" w:hAnsi="Corbel" w:cs="Arial"/>
          <w:sz w:val="22"/>
          <w:szCs w:val="22"/>
          <w:lang w:val="en-GB"/>
        </w:rPr>
      </w:pPr>
    </w:p>
    <w:p w14:paraId="6A074017" w14:textId="4AFBEB11" w:rsidR="00861CC1" w:rsidRDefault="00861CC1" w:rsidP="00861CC1">
      <w:pPr>
        <w:spacing w:line="276" w:lineRule="auto"/>
        <w:jc w:val="both"/>
        <w:outlineLvl w:val="0"/>
        <w:rPr>
          <w:rFonts w:ascii="Corbel" w:hAnsi="Corbel" w:cs="Arial"/>
          <w:sz w:val="22"/>
          <w:szCs w:val="22"/>
          <w:lang w:val="en-GB"/>
        </w:rPr>
      </w:pPr>
      <w:bookmarkStart w:id="69" w:name="_Toc103506609"/>
      <w:r w:rsidRPr="00570ACC">
        <w:rPr>
          <w:rFonts w:ascii="Corbel" w:hAnsi="Corbel" w:cs="Arial"/>
          <w:sz w:val="22"/>
          <w:szCs w:val="22"/>
          <w:lang w:val="en-GB"/>
        </w:rPr>
        <w:t>Moreover, the Arab Chamber of Commerce presented a report on PAFTA implementation progress and challenges</w:t>
      </w:r>
      <w:r w:rsidRPr="00570ACC">
        <w:rPr>
          <w:rStyle w:val="FootnoteReference"/>
          <w:rFonts w:ascii="Corbel" w:hAnsi="Corbel" w:cs="Arial"/>
          <w:sz w:val="22"/>
          <w:szCs w:val="22"/>
          <w:lang w:val="en-GB"/>
        </w:rPr>
        <w:footnoteReference w:id="27"/>
      </w:r>
      <w:r w:rsidRPr="00570ACC">
        <w:rPr>
          <w:rFonts w:ascii="Corbel" w:hAnsi="Corbel" w:cs="Arial"/>
          <w:sz w:val="22"/>
          <w:szCs w:val="22"/>
          <w:lang w:val="en-GB"/>
        </w:rPr>
        <w:t xml:space="preserve">, which </w:t>
      </w:r>
      <w:r w:rsidR="00A16E2B" w:rsidRPr="00570ACC">
        <w:rPr>
          <w:rFonts w:ascii="Corbel" w:hAnsi="Corbel" w:cs="Arial"/>
          <w:sz w:val="22"/>
          <w:szCs w:val="22"/>
          <w:lang w:val="en-GB"/>
        </w:rPr>
        <w:t>was peer</w:t>
      </w:r>
      <w:r w:rsidRPr="00570ACC">
        <w:rPr>
          <w:rFonts w:ascii="Corbel" w:hAnsi="Corbel" w:cs="Arial"/>
          <w:sz w:val="22"/>
          <w:szCs w:val="22"/>
          <w:lang w:val="en-GB"/>
        </w:rPr>
        <w:t xml:space="preserve">-reviewed by UNDP and the LAS Monitoring and Enforcement Committee, to inform the design of new measures and policies that </w:t>
      </w:r>
      <w:proofErr w:type="gramStart"/>
      <w:r w:rsidRPr="00570ACC">
        <w:rPr>
          <w:rFonts w:ascii="Corbel" w:hAnsi="Corbel" w:cs="Arial"/>
          <w:sz w:val="22"/>
          <w:szCs w:val="22"/>
          <w:lang w:val="en-GB"/>
        </w:rPr>
        <w:t>take into account</w:t>
      </w:r>
      <w:proofErr w:type="gramEnd"/>
      <w:r w:rsidRPr="00570ACC">
        <w:rPr>
          <w:rFonts w:ascii="Corbel" w:hAnsi="Corbel" w:cs="Arial"/>
          <w:sz w:val="22"/>
          <w:szCs w:val="22"/>
          <w:lang w:val="en-GB"/>
        </w:rPr>
        <w:t xml:space="preserve"> the perspectives of both Governments and the private sector.</w:t>
      </w:r>
      <w:bookmarkEnd w:id="69"/>
      <w:r w:rsidRPr="00570ACC">
        <w:rPr>
          <w:rFonts w:ascii="Corbel" w:hAnsi="Corbel" w:cs="Arial"/>
          <w:sz w:val="22"/>
          <w:szCs w:val="22"/>
          <w:lang w:val="en-GB"/>
        </w:rPr>
        <w:t xml:space="preserve"> </w:t>
      </w:r>
    </w:p>
    <w:p w14:paraId="665CBCE5" w14:textId="77777777" w:rsidR="00A03ED9" w:rsidRDefault="00A03ED9" w:rsidP="00E47EA3">
      <w:pPr>
        <w:spacing w:line="276" w:lineRule="auto"/>
        <w:jc w:val="both"/>
        <w:outlineLvl w:val="0"/>
        <w:rPr>
          <w:rFonts w:ascii="Corbel" w:hAnsi="Corbel" w:cs="Arial"/>
          <w:sz w:val="22"/>
          <w:szCs w:val="22"/>
          <w:lang w:val="en-GB"/>
        </w:rPr>
      </w:pPr>
    </w:p>
    <w:p w14:paraId="593CD587" w14:textId="1A56646C" w:rsidR="00AF713B" w:rsidRDefault="006D45DF" w:rsidP="00994998">
      <w:pPr>
        <w:spacing w:line="276" w:lineRule="auto"/>
        <w:jc w:val="both"/>
        <w:outlineLvl w:val="0"/>
        <w:rPr>
          <w:rFonts w:ascii="Corbel" w:hAnsi="Corbel" w:cs="Arial"/>
          <w:sz w:val="22"/>
          <w:szCs w:val="22"/>
          <w:lang w:val="en-GB"/>
        </w:rPr>
      </w:pPr>
      <w:bookmarkStart w:id="70" w:name="_Toc103506610"/>
      <w:r>
        <w:rPr>
          <w:rFonts w:ascii="Corbel" w:hAnsi="Corbel" w:cs="Arial"/>
          <w:sz w:val="22"/>
          <w:szCs w:val="22"/>
          <w:lang w:val="en-GB"/>
        </w:rPr>
        <w:t xml:space="preserve">Although the final project evaluation </w:t>
      </w:r>
      <w:r w:rsidR="00DF64C7">
        <w:rPr>
          <w:rFonts w:ascii="Corbel" w:hAnsi="Corbel" w:cs="Arial"/>
          <w:sz w:val="22"/>
          <w:szCs w:val="22"/>
          <w:lang w:val="en-GB"/>
        </w:rPr>
        <w:t xml:space="preserve">determined that the project underdelivered in terms of allocating enough resources to </w:t>
      </w:r>
      <w:r w:rsidR="00486668">
        <w:rPr>
          <w:rFonts w:ascii="Corbel" w:hAnsi="Corbel" w:cs="Arial"/>
          <w:sz w:val="22"/>
          <w:szCs w:val="22"/>
          <w:lang w:val="en-GB"/>
        </w:rPr>
        <w:t>make trade policies more gender sensitive</w:t>
      </w:r>
      <w:r w:rsidR="003036D0">
        <w:rPr>
          <w:rFonts w:ascii="Corbel" w:hAnsi="Corbel" w:cs="Arial"/>
          <w:sz w:val="22"/>
          <w:szCs w:val="22"/>
          <w:lang w:val="en-GB"/>
        </w:rPr>
        <w:t xml:space="preserve">, some contribution was provided </w:t>
      </w:r>
      <w:r w:rsidR="00861CC1">
        <w:rPr>
          <w:rFonts w:ascii="Corbel" w:hAnsi="Corbel" w:cs="Arial"/>
          <w:sz w:val="22"/>
          <w:szCs w:val="22"/>
          <w:lang w:val="en-GB"/>
        </w:rPr>
        <w:t xml:space="preserve">to </w:t>
      </w:r>
      <w:r w:rsidR="00566603">
        <w:rPr>
          <w:rFonts w:ascii="Corbel" w:hAnsi="Corbel" w:cs="Arial"/>
          <w:sz w:val="22"/>
          <w:szCs w:val="22"/>
          <w:lang w:val="en-GB"/>
        </w:rPr>
        <w:t>enhance</w:t>
      </w:r>
      <w:r w:rsidR="00861CC1">
        <w:rPr>
          <w:rFonts w:ascii="Corbel" w:hAnsi="Corbel" w:cs="Arial"/>
          <w:sz w:val="22"/>
          <w:szCs w:val="22"/>
          <w:lang w:val="en-GB"/>
        </w:rPr>
        <w:t xml:space="preserve"> the understanding of the importance of taking into consideration women’s </w:t>
      </w:r>
      <w:r w:rsidR="00563706">
        <w:rPr>
          <w:rFonts w:ascii="Corbel" w:hAnsi="Corbel" w:cs="Arial"/>
          <w:sz w:val="22"/>
          <w:szCs w:val="22"/>
          <w:lang w:val="en-GB"/>
        </w:rPr>
        <w:t>perspectives</w:t>
      </w:r>
      <w:r w:rsidR="00861CC1">
        <w:rPr>
          <w:rFonts w:ascii="Corbel" w:hAnsi="Corbel" w:cs="Arial"/>
          <w:sz w:val="22"/>
          <w:szCs w:val="22"/>
          <w:lang w:val="en-GB"/>
        </w:rPr>
        <w:t xml:space="preserve"> in trade policies and trade negotiations, as well as of the role trade can play in women economic empowerment</w:t>
      </w:r>
      <w:r w:rsidR="00861CC1" w:rsidRPr="00570ACC">
        <w:rPr>
          <w:rFonts w:ascii="Corbel" w:hAnsi="Corbel" w:cs="Arial"/>
          <w:sz w:val="22"/>
          <w:szCs w:val="22"/>
          <w:lang w:val="en-GB"/>
        </w:rPr>
        <w:t>.</w:t>
      </w:r>
      <w:r w:rsidR="008025D9" w:rsidRPr="008025D9">
        <w:rPr>
          <w:rFonts w:ascii="Corbel" w:hAnsi="Corbel" w:cs="Arial"/>
          <w:sz w:val="22"/>
          <w:szCs w:val="22"/>
          <w:lang w:val="en-GB"/>
        </w:rPr>
        <w:t xml:space="preserve"> </w:t>
      </w:r>
      <w:r w:rsidR="008025D9" w:rsidRPr="00570ACC">
        <w:rPr>
          <w:rFonts w:ascii="Corbel" w:hAnsi="Corbel" w:cs="Arial"/>
          <w:sz w:val="22"/>
          <w:szCs w:val="22"/>
          <w:lang w:val="en-GB"/>
        </w:rPr>
        <w:t xml:space="preserve">Findings of the analysis of the impacts of Covid-19 in Morocco </w:t>
      </w:r>
      <w:r w:rsidR="00942CBA">
        <w:rPr>
          <w:rFonts w:ascii="Corbel" w:hAnsi="Corbel" w:cs="Arial"/>
          <w:sz w:val="22"/>
          <w:szCs w:val="22"/>
          <w:lang w:val="en-GB"/>
        </w:rPr>
        <w:t>and Egypt</w:t>
      </w:r>
      <w:r w:rsidR="008025D9" w:rsidRPr="00570ACC">
        <w:rPr>
          <w:rFonts w:ascii="Corbel" w:hAnsi="Corbel" w:cs="Arial"/>
          <w:sz w:val="22"/>
          <w:szCs w:val="22"/>
          <w:lang w:val="en-GB"/>
        </w:rPr>
        <w:t xml:space="preserve"> revealed that women were more exposed to job loss compared to men.</w:t>
      </w:r>
      <w:r w:rsidR="00942CBA">
        <w:rPr>
          <w:rFonts w:ascii="Corbel" w:hAnsi="Corbel" w:cs="Arial"/>
          <w:sz w:val="22"/>
          <w:szCs w:val="22"/>
          <w:lang w:val="en-GB"/>
        </w:rPr>
        <w:t xml:space="preserve"> These findings informed an initiative by the Moroccan government to </w:t>
      </w:r>
      <w:r w:rsidR="00994998">
        <w:rPr>
          <w:rFonts w:ascii="Corbel" w:hAnsi="Corbel" w:cs="Arial"/>
          <w:sz w:val="22"/>
          <w:szCs w:val="22"/>
          <w:lang w:val="en-GB"/>
        </w:rPr>
        <w:t>promote</w:t>
      </w:r>
      <w:r w:rsidR="00942CBA">
        <w:rPr>
          <w:rFonts w:ascii="Corbel" w:hAnsi="Corbel" w:cs="Arial"/>
          <w:sz w:val="22"/>
          <w:szCs w:val="22"/>
          <w:lang w:val="en-GB"/>
        </w:rPr>
        <w:t xml:space="preserve"> </w:t>
      </w:r>
      <w:r w:rsidR="00994998">
        <w:rPr>
          <w:rFonts w:ascii="Corbel" w:hAnsi="Corbel" w:cs="Arial"/>
          <w:sz w:val="22"/>
          <w:szCs w:val="22"/>
          <w:lang w:val="en-GB"/>
        </w:rPr>
        <w:t>women-led cooperatives producing argan oil, which was supported by the project under its outcome 2 activities.</w:t>
      </w:r>
      <w:bookmarkStart w:id="71" w:name="_Hlk65681464"/>
      <w:bookmarkEnd w:id="70"/>
    </w:p>
    <w:p w14:paraId="0FDB726D" w14:textId="77777777" w:rsidR="00994998" w:rsidRPr="00994998" w:rsidRDefault="00994998" w:rsidP="00994998">
      <w:pPr>
        <w:spacing w:line="276" w:lineRule="auto"/>
        <w:jc w:val="both"/>
        <w:outlineLvl w:val="0"/>
        <w:rPr>
          <w:rFonts w:ascii="Corbel" w:hAnsi="Corbel" w:cs="Arial"/>
          <w:sz w:val="22"/>
          <w:szCs w:val="22"/>
          <w:lang w:val="en-GB"/>
        </w:rPr>
      </w:pPr>
    </w:p>
    <w:tbl>
      <w:tblPr>
        <w:tblpPr w:leftFromText="180" w:rightFromText="180" w:vertAnchor="text" w:tblpXSpec="right" w:tblpY="1"/>
        <w:tblOverlap w:val="never"/>
        <w:tblW w:w="10272" w:type="dxa"/>
        <w:tblLayout w:type="fixed"/>
        <w:tblLook w:val="04A0" w:firstRow="1" w:lastRow="0" w:firstColumn="1" w:lastColumn="0" w:noHBand="0" w:noVBand="1"/>
      </w:tblPr>
      <w:tblGrid>
        <w:gridCol w:w="1255"/>
        <w:gridCol w:w="1800"/>
        <w:gridCol w:w="1170"/>
        <w:gridCol w:w="1086"/>
        <w:gridCol w:w="1701"/>
        <w:gridCol w:w="1134"/>
        <w:gridCol w:w="2126"/>
      </w:tblGrid>
      <w:tr w:rsidR="0018270C" w:rsidRPr="00570ACC" w14:paraId="6503FD37" w14:textId="77777777" w:rsidTr="00136F1F">
        <w:trPr>
          <w:trHeight w:val="440"/>
        </w:trPr>
        <w:tc>
          <w:tcPr>
            <w:tcW w:w="1255" w:type="dxa"/>
            <w:tcBorders>
              <w:top w:val="single" w:sz="4" w:space="0" w:color="auto"/>
              <w:left w:val="single" w:sz="4" w:space="0" w:color="auto"/>
              <w:bottom w:val="nil"/>
              <w:right w:val="single" w:sz="4" w:space="0" w:color="auto"/>
            </w:tcBorders>
            <w:shd w:val="clear" w:color="auto" w:fill="D8E4BC"/>
            <w:vAlign w:val="center"/>
            <w:hideMark/>
          </w:tcPr>
          <w:p w14:paraId="4897F096" w14:textId="77777777" w:rsidR="0018270C" w:rsidRPr="00570ACC" w:rsidRDefault="0018270C" w:rsidP="0018270C">
            <w:pPr>
              <w:rPr>
                <w:rFonts w:ascii="Corbel" w:eastAsia="Times New Roman" w:hAnsi="Corbel"/>
                <w:b/>
                <w:bCs/>
                <w:color w:val="000000"/>
                <w:sz w:val="19"/>
                <w:szCs w:val="19"/>
                <w:lang w:val="en-GB" w:eastAsia="en-GB"/>
              </w:rPr>
            </w:pPr>
            <w:r w:rsidRPr="00570ACC">
              <w:rPr>
                <w:rFonts w:ascii="Corbel" w:eastAsia="Times New Roman" w:hAnsi="Corbel"/>
                <w:b/>
                <w:bCs/>
                <w:color w:val="000000"/>
                <w:sz w:val="19"/>
                <w:szCs w:val="19"/>
                <w:lang w:val="en-GB" w:eastAsia="en-GB"/>
              </w:rPr>
              <w:t>Project Outcome</w:t>
            </w:r>
          </w:p>
        </w:tc>
        <w:tc>
          <w:tcPr>
            <w:tcW w:w="1800" w:type="dxa"/>
            <w:tcBorders>
              <w:top w:val="single" w:sz="4" w:space="0" w:color="auto"/>
              <w:left w:val="nil"/>
              <w:bottom w:val="nil"/>
              <w:right w:val="single" w:sz="4" w:space="0" w:color="auto"/>
            </w:tcBorders>
            <w:shd w:val="clear" w:color="auto" w:fill="D8E4BC"/>
            <w:vAlign w:val="center"/>
            <w:hideMark/>
          </w:tcPr>
          <w:p w14:paraId="07F597F7" w14:textId="77777777" w:rsidR="0018270C" w:rsidRPr="00570ACC" w:rsidRDefault="0018270C" w:rsidP="0018270C">
            <w:pPr>
              <w:rPr>
                <w:rFonts w:ascii="Corbel" w:eastAsia="Times New Roman" w:hAnsi="Corbel"/>
                <w:b/>
                <w:bCs/>
                <w:color w:val="000000"/>
                <w:sz w:val="19"/>
                <w:szCs w:val="19"/>
                <w:lang w:val="en-GB" w:eastAsia="en-GB"/>
              </w:rPr>
            </w:pPr>
            <w:r w:rsidRPr="00570ACC">
              <w:rPr>
                <w:rFonts w:ascii="Corbel" w:eastAsia="Times New Roman" w:hAnsi="Corbel"/>
                <w:b/>
                <w:bCs/>
                <w:color w:val="000000"/>
                <w:sz w:val="19"/>
                <w:szCs w:val="19"/>
                <w:lang w:val="en-GB" w:eastAsia="en-GB"/>
              </w:rPr>
              <w:t>Project Outcome indicators</w:t>
            </w:r>
          </w:p>
        </w:tc>
        <w:tc>
          <w:tcPr>
            <w:tcW w:w="1170" w:type="dxa"/>
            <w:tcBorders>
              <w:top w:val="single" w:sz="4" w:space="0" w:color="auto"/>
              <w:left w:val="nil"/>
              <w:bottom w:val="nil"/>
              <w:right w:val="single" w:sz="4" w:space="0" w:color="auto"/>
            </w:tcBorders>
            <w:shd w:val="clear" w:color="auto" w:fill="D8E4BC"/>
            <w:vAlign w:val="center"/>
            <w:hideMark/>
          </w:tcPr>
          <w:p w14:paraId="73D3A0AA" w14:textId="77777777" w:rsidR="0018270C" w:rsidRPr="00570ACC" w:rsidRDefault="0018270C" w:rsidP="0018270C">
            <w:pPr>
              <w:rPr>
                <w:rFonts w:ascii="Corbel" w:eastAsia="Times New Roman" w:hAnsi="Corbel"/>
                <w:b/>
                <w:bCs/>
                <w:color w:val="000000"/>
                <w:sz w:val="19"/>
                <w:szCs w:val="19"/>
                <w:lang w:val="en-GB" w:eastAsia="en-GB"/>
              </w:rPr>
            </w:pPr>
            <w:r w:rsidRPr="00570ACC">
              <w:rPr>
                <w:rFonts w:ascii="Corbel" w:eastAsia="Times New Roman" w:hAnsi="Corbel"/>
                <w:b/>
                <w:bCs/>
                <w:color w:val="000000"/>
                <w:sz w:val="19"/>
                <w:szCs w:val="19"/>
                <w:lang w:val="en-GB" w:eastAsia="en-GB"/>
              </w:rPr>
              <w:t>Baseline</w:t>
            </w:r>
          </w:p>
        </w:tc>
        <w:tc>
          <w:tcPr>
            <w:tcW w:w="1086" w:type="dxa"/>
            <w:tcBorders>
              <w:top w:val="single" w:sz="4" w:space="0" w:color="auto"/>
              <w:left w:val="nil"/>
              <w:bottom w:val="nil"/>
              <w:right w:val="single" w:sz="4" w:space="0" w:color="auto"/>
            </w:tcBorders>
            <w:shd w:val="clear" w:color="auto" w:fill="D8E4BC"/>
            <w:vAlign w:val="center"/>
            <w:hideMark/>
          </w:tcPr>
          <w:p w14:paraId="18C793F8" w14:textId="4B56AA36" w:rsidR="0018270C" w:rsidRPr="00570ACC" w:rsidRDefault="0018270C" w:rsidP="0018270C">
            <w:pPr>
              <w:rPr>
                <w:rFonts w:ascii="Corbel" w:eastAsia="Times New Roman" w:hAnsi="Corbel"/>
                <w:b/>
                <w:bCs/>
                <w:color w:val="000000"/>
                <w:sz w:val="19"/>
                <w:szCs w:val="19"/>
                <w:lang w:val="en-GB" w:eastAsia="en-GB"/>
              </w:rPr>
            </w:pPr>
            <w:r w:rsidRPr="00570ACC">
              <w:rPr>
                <w:rFonts w:ascii="Corbel" w:eastAsia="Times New Roman" w:hAnsi="Corbel"/>
                <w:b/>
                <w:bCs/>
                <w:color w:val="000000"/>
                <w:sz w:val="19"/>
                <w:szCs w:val="19"/>
                <w:lang w:val="en-GB" w:eastAsia="en-GB"/>
              </w:rPr>
              <w:t>Target (</w:t>
            </w:r>
            <w:r w:rsidR="005E3FC0" w:rsidRPr="00570ACC">
              <w:rPr>
                <w:rFonts w:ascii="Corbel" w:eastAsia="Times New Roman" w:hAnsi="Corbel"/>
                <w:b/>
                <w:bCs/>
                <w:color w:val="000000"/>
                <w:sz w:val="19"/>
                <w:szCs w:val="19"/>
                <w:lang w:val="en-GB" w:eastAsia="en-GB"/>
              </w:rPr>
              <w:t>20</w:t>
            </w:r>
            <w:r w:rsidR="00F534D2">
              <w:rPr>
                <w:rFonts w:ascii="Corbel" w:eastAsia="Times New Roman" w:hAnsi="Corbel"/>
                <w:b/>
                <w:bCs/>
                <w:color w:val="000000"/>
                <w:sz w:val="19"/>
                <w:szCs w:val="19"/>
                <w:lang w:val="en-GB" w:eastAsia="en-GB"/>
              </w:rPr>
              <w:t>20</w:t>
            </w:r>
            <w:r w:rsidR="005E3FC0" w:rsidRPr="00570ACC">
              <w:rPr>
                <w:rFonts w:ascii="Corbel" w:eastAsia="Times New Roman" w:hAnsi="Corbel"/>
                <w:b/>
                <w:bCs/>
                <w:color w:val="000000"/>
                <w:sz w:val="19"/>
                <w:szCs w:val="19"/>
                <w:lang w:val="en-GB" w:eastAsia="en-GB"/>
              </w:rPr>
              <w:t>)</w:t>
            </w:r>
          </w:p>
        </w:tc>
        <w:tc>
          <w:tcPr>
            <w:tcW w:w="1701" w:type="dxa"/>
            <w:tcBorders>
              <w:top w:val="single" w:sz="4" w:space="0" w:color="auto"/>
              <w:left w:val="nil"/>
              <w:bottom w:val="nil"/>
              <w:right w:val="single" w:sz="4" w:space="0" w:color="auto"/>
            </w:tcBorders>
            <w:shd w:val="clear" w:color="auto" w:fill="D8E4BC"/>
            <w:vAlign w:val="center"/>
            <w:hideMark/>
          </w:tcPr>
          <w:p w14:paraId="3B844E76" w14:textId="7F1EE049" w:rsidR="0018270C" w:rsidRPr="00570ACC" w:rsidRDefault="0018270C" w:rsidP="0018270C">
            <w:pPr>
              <w:rPr>
                <w:rFonts w:ascii="Corbel" w:eastAsia="Times New Roman" w:hAnsi="Corbel"/>
                <w:b/>
                <w:bCs/>
                <w:color w:val="000000"/>
                <w:sz w:val="19"/>
                <w:szCs w:val="19"/>
                <w:lang w:val="en-GB" w:eastAsia="en-GB"/>
              </w:rPr>
            </w:pPr>
            <w:r w:rsidRPr="00570ACC">
              <w:rPr>
                <w:rFonts w:ascii="Corbel" w:eastAsia="Times New Roman" w:hAnsi="Corbel"/>
                <w:b/>
                <w:bCs/>
                <w:color w:val="000000"/>
                <w:sz w:val="19"/>
                <w:szCs w:val="19"/>
                <w:lang w:val="en-GB" w:eastAsia="en-GB"/>
              </w:rPr>
              <w:t>Actual (</w:t>
            </w:r>
            <w:r w:rsidR="005E3FC0" w:rsidRPr="00570ACC">
              <w:rPr>
                <w:rFonts w:ascii="Corbel" w:eastAsia="Times New Roman" w:hAnsi="Corbel"/>
                <w:b/>
                <w:bCs/>
                <w:color w:val="000000"/>
                <w:sz w:val="19"/>
                <w:szCs w:val="19"/>
                <w:lang w:val="en-GB" w:eastAsia="en-GB"/>
              </w:rPr>
              <w:t>2018</w:t>
            </w:r>
            <w:r w:rsidRPr="00570ACC">
              <w:rPr>
                <w:rFonts w:ascii="Corbel" w:eastAsia="Times New Roman" w:hAnsi="Corbel"/>
                <w:b/>
                <w:bCs/>
                <w:color w:val="000000"/>
                <w:sz w:val="19"/>
                <w:szCs w:val="19"/>
                <w:lang w:val="en-GB" w:eastAsia="en-GB"/>
              </w:rPr>
              <w:t>)</w:t>
            </w:r>
          </w:p>
        </w:tc>
        <w:tc>
          <w:tcPr>
            <w:tcW w:w="1134" w:type="dxa"/>
            <w:tcBorders>
              <w:top w:val="single" w:sz="4" w:space="0" w:color="auto"/>
              <w:left w:val="nil"/>
              <w:bottom w:val="nil"/>
              <w:right w:val="single" w:sz="4" w:space="0" w:color="auto"/>
            </w:tcBorders>
            <w:shd w:val="clear" w:color="auto" w:fill="D8E4BC"/>
            <w:vAlign w:val="center"/>
            <w:hideMark/>
          </w:tcPr>
          <w:p w14:paraId="5DC2D5A3" w14:textId="2C962B54" w:rsidR="0018270C" w:rsidRPr="00570ACC" w:rsidRDefault="0018270C" w:rsidP="0018270C">
            <w:pPr>
              <w:rPr>
                <w:rFonts w:ascii="Corbel" w:eastAsia="Times New Roman" w:hAnsi="Corbel"/>
                <w:b/>
                <w:bCs/>
                <w:color w:val="000000"/>
                <w:sz w:val="19"/>
                <w:szCs w:val="19"/>
                <w:lang w:val="en-GB" w:eastAsia="en-GB"/>
              </w:rPr>
            </w:pPr>
            <w:r w:rsidRPr="00570ACC">
              <w:rPr>
                <w:rFonts w:ascii="Corbel" w:eastAsia="Times New Roman" w:hAnsi="Corbel"/>
                <w:b/>
                <w:bCs/>
                <w:color w:val="000000"/>
                <w:sz w:val="19"/>
                <w:szCs w:val="19"/>
                <w:lang w:val="en-GB" w:eastAsia="en-GB"/>
              </w:rPr>
              <w:t xml:space="preserve">Target </w:t>
            </w:r>
            <w:r w:rsidR="00F534D2">
              <w:rPr>
                <w:rFonts w:ascii="Corbel" w:eastAsia="Times New Roman" w:hAnsi="Corbel"/>
                <w:b/>
                <w:bCs/>
                <w:color w:val="000000"/>
                <w:sz w:val="19"/>
                <w:szCs w:val="19"/>
                <w:lang w:val="en-GB" w:eastAsia="en-GB"/>
              </w:rPr>
              <w:t>(2022)</w:t>
            </w:r>
          </w:p>
        </w:tc>
        <w:tc>
          <w:tcPr>
            <w:tcW w:w="2126" w:type="dxa"/>
            <w:tcBorders>
              <w:top w:val="single" w:sz="4" w:space="0" w:color="auto"/>
              <w:left w:val="nil"/>
              <w:bottom w:val="nil"/>
              <w:right w:val="single" w:sz="4" w:space="0" w:color="auto"/>
            </w:tcBorders>
            <w:shd w:val="clear" w:color="auto" w:fill="D8E4BC"/>
            <w:vAlign w:val="center"/>
            <w:hideMark/>
          </w:tcPr>
          <w:p w14:paraId="168AC714" w14:textId="2A7197D7" w:rsidR="0018270C" w:rsidRPr="00570ACC" w:rsidRDefault="0018270C" w:rsidP="0018270C">
            <w:pPr>
              <w:rPr>
                <w:rFonts w:ascii="Corbel" w:eastAsia="Times New Roman" w:hAnsi="Corbel"/>
                <w:b/>
                <w:bCs/>
                <w:color w:val="000000"/>
                <w:sz w:val="19"/>
                <w:szCs w:val="19"/>
                <w:lang w:val="en-GB" w:eastAsia="en-GB"/>
              </w:rPr>
            </w:pPr>
            <w:r w:rsidRPr="00570ACC">
              <w:rPr>
                <w:rFonts w:ascii="Corbel" w:eastAsia="Times New Roman" w:hAnsi="Corbel"/>
                <w:b/>
                <w:bCs/>
                <w:color w:val="000000"/>
                <w:sz w:val="19"/>
                <w:szCs w:val="19"/>
                <w:lang w:val="en-GB" w:eastAsia="en-GB"/>
              </w:rPr>
              <w:t>Actual (202</w:t>
            </w:r>
            <w:r w:rsidR="00F534D2">
              <w:rPr>
                <w:rFonts w:ascii="Corbel" w:eastAsia="Times New Roman" w:hAnsi="Corbel"/>
                <w:b/>
                <w:bCs/>
                <w:color w:val="000000"/>
                <w:sz w:val="19"/>
                <w:szCs w:val="19"/>
                <w:lang w:val="en-GB" w:eastAsia="en-GB"/>
              </w:rPr>
              <w:t>2</w:t>
            </w:r>
            <w:r w:rsidRPr="00570ACC">
              <w:rPr>
                <w:rFonts w:ascii="Corbel" w:eastAsia="Times New Roman" w:hAnsi="Corbel"/>
                <w:b/>
                <w:bCs/>
                <w:color w:val="000000"/>
                <w:sz w:val="19"/>
                <w:szCs w:val="19"/>
                <w:lang w:val="en-GB" w:eastAsia="en-GB"/>
              </w:rPr>
              <w:t>)</w:t>
            </w:r>
          </w:p>
        </w:tc>
      </w:tr>
      <w:tr w:rsidR="0018270C" w:rsidRPr="00570ACC" w14:paraId="562BA582" w14:textId="77777777" w:rsidTr="00136F1F">
        <w:trPr>
          <w:trHeight w:val="960"/>
        </w:trPr>
        <w:tc>
          <w:tcPr>
            <w:tcW w:w="1255" w:type="dxa"/>
            <w:vMerge w:val="restart"/>
            <w:tcBorders>
              <w:top w:val="single" w:sz="4" w:space="0" w:color="auto"/>
              <w:left w:val="single" w:sz="4" w:space="0" w:color="auto"/>
              <w:bottom w:val="nil"/>
              <w:right w:val="single" w:sz="4" w:space="0" w:color="auto"/>
            </w:tcBorders>
            <w:shd w:val="clear" w:color="auto" w:fill="EBF1DE"/>
            <w:vAlign w:val="center"/>
            <w:hideMark/>
          </w:tcPr>
          <w:p w14:paraId="3D64CD18" w14:textId="77777777" w:rsidR="0018270C" w:rsidRPr="00570ACC" w:rsidRDefault="0018270C" w:rsidP="00512FC3">
            <w:pPr>
              <w:rPr>
                <w:rFonts w:ascii="Corbel" w:eastAsia="Times New Roman" w:hAnsi="Corbel"/>
                <w:sz w:val="19"/>
                <w:szCs w:val="19"/>
                <w:lang w:val="en-GB" w:eastAsia="en-GB"/>
              </w:rPr>
            </w:pPr>
            <w:r w:rsidRPr="00570ACC">
              <w:rPr>
                <w:rFonts w:ascii="Corbel" w:eastAsia="Times New Roman" w:hAnsi="Corbel"/>
                <w:b/>
                <w:bCs/>
                <w:sz w:val="19"/>
                <w:szCs w:val="19"/>
                <w:lang w:val="en-GB" w:eastAsia="en-GB"/>
              </w:rPr>
              <w:t>3.</w:t>
            </w:r>
            <w:r w:rsidRPr="00570ACC">
              <w:rPr>
                <w:rFonts w:ascii="Corbel" w:eastAsia="Times New Roman" w:hAnsi="Corbel"/>
                <w:sz w:val="19"/>
                <w:szCs w:val="19"/>
                <w:lang w:val="en-GB" w:eastAsia="en-GB"/>
              </w:rPr>
              <w:t xml:space="preserve"> Engagement of key development actors ensured through inclusive and transparent processes for regional economic integration. </w:t>
            </w:r>
          </w:p>
        </w:tc>
        <w:tc>
          <w:tcPr>
            <w:tcW w:w="1800" w:type="dxa"/>
            <w:tcBorders>
              <w:top w:val="nil"/>
              <w:left w:val="nil"/>
              <w:bottom w:val="single" w:sz="4" w:space="0" w:color="auto"/>
              <w:right w:val="single" w:sz="4" w:space="0" w:color="auto"/>
            </w:tcBorders>
            <w:shd w:val="clear" w:color="auto" w:fill="EBF1DE"/>
            <w:vAlign w:val="center"/>
            <w:hideMark/>
          </w:tcPr>
          <w:p w14:paraId="5F1CF153" w14:textId="77777777" w:rsidR="0018270C" w:rsidRPr="00570ACC" w:rsidRDefault="0018270C" w:rsidP="00512FC3">
            <w:pPr>
              <w:rPr>
                <w:rFonts w:ascii="Corbel" w:eastAsia="Times New Roman" w:hAnsi="Corbel"/>
                <w:color w:val="000000"/>
                <w:sz w:val="19"/>
                <w:szCs w:val="19"/>
                <w:lang w:val="en-GB" w:eastAsia="en-GB"/>
              </w:rPr>
            </w:pPr>
            <w:r w:rsidRPr="00570ACC">
              <w:rPr>
                <w:rFonts w:ascii="Corbel" w:eastAsia="Times New Roman" w:hAnsi="Corbel"/>
                <w:b/>
                <w:bCs/>
                <w:color w:val="000000"/>
                <w:sz w:val="19"/>
                <w:szCs w:val="19"/>
                <w:lang w:val="en-GB" w:eastAsia="en-GB"/>
              </w:rPr>
              <w:t xml:space="preserve">Indicator 3.1. </w:t>
            </w:r>
            <w:r w:rsidRPr="00570ACC">
              <w:rPr>
                <w:rFonts w:ascii="Corbel" w:eastAsia="Times New Roman" w:hAnsi="Corbel"/>
                <w:color w:val="000000"/>
                <w:sz w:val="19"/>
                <w:szCs w:val="19"/>
                <w:lang w:val="en-GB" w:eastAsia="en-GB"/>
              </w:rPr>
              <w:t xml:space="preserve">Degree of improved related regulatory frameworks for integrity, aiming for good governance for trade development measures </w:t>
            </w:r>
            <w:r w:rsidRPr="00570ACC">
              <w:rPr>
                <w:rFonts w:ascii="Corbel" w:eastAsia="Times New Roman" w:hAnsi="Corbel"/>
                <w:i/>
                <w:iCs/>
                <w:color w:val="000000"/>
                <w:sz w:val="19"/>
                <w:szCs w:val="19"/>
                <w:lang w:val="en-GB" w:eastAsia="en-GB"/>
              </w:rPr>
              <w:t>(limited, moderate, high, significant)</w:t>
            </w:r>
          </w:p>
        </w:tc>
        <w:tc>
          <w:tcPr>
            <w:tcW w:w="1170" w:type="dxa"/>
            <w:tcBorders>
              <w:top w:val="nil"/>
              <w:left w:val="nil"/>
              <w:bottom w:val="single" w:sz="4" w:space="0" w:color="auto"/>
              <w:right w:val="single" w:sz="4" w:space="0" w:color="auto"/>
            </w:tcBorders>
            <w:shd w:val="clear" w:color="auto" w:fill="EBF1DE"/>
            <w:vAlign w:val="center"/>
            <w:hideMark/>
          </w:tcPr>
          <w:p w14:paraId="161CF94E" w14:textId="77777777" w:rsidR="00593374" w:rsidRDefault="0018270C" w:rsidP="00512FC3">
            <w:pPr>
              <w:rPr>
                <w:rFonts w:ascii="Corbel" w:eastAsia="Times New Roman" w:hAnsi="Corbel"/>
                <w:color w:val="000000"/>
                <w:sz w:val="19"/>
                <w:szCs w:val="19"/>
                <w:lang w:val="en-GB" w:eastAsia="en-GB"/>
              </w:rPr>
            </w:pPr>
            <w:r w:rsidRPr="00570ACC">
              <w:rPr>
                <w:rFonts w:ascii="Corbel" w:eastAsia="Times New Roman" w:hAnsi="Corbel"/>
                <w:b/>
                <w:bCs/>
                <w:color w:val="000000"/>
                <w:sz w:val="19"/>
                <w:szCs w:val="19"/>
                <w:lang w:val="en-GB" w:eastAsia="en-GB"/>
              </w:rPr>
              <w:t>3.1</w:t>
            </w:r>
            <w:r w:rsidRPr="00570ACC">
              <w:rPr>
                <w:rFonts w:ascii="Corbel" w:eastAsia="Times New Roman" w:hAnsi="Corbel"/>
                <w:color w:val="000000"/>
                <w:sz w:val="19"/>
                <w:szCs w:val="19"/>
                <w:lang w:val="en-GB" w:eastAsia="en-GB"/>
              </w:rPr>
              <w:t xml:space="preserve"> </w:t>
            </w:r>
            <w:r w:rsidR="00593374" w:rsidRPr="00593374">
              <w:rPr>
                <w:rFonts w:ascii="Corbel" w:eastAsia="Times New Roman" w:hAnsi="Corbel"/>
                <w:b/>
                <w:bCs/>
                <w:color w:val="000000"/>
                <w:sz w:val="19"/>
                <w:szCs w:val="19"/>
                <w:lang w:val="en-GB" w:eastAsia="en-GB"/>
              </w:rPr>
              <w:t>Low</w:t>
            </w:r>
          </w:p>
          <w:p w14:paraId="7462F4A9" w14:textId="12EBD858" w:rsidR="0018270C" w:rsidRPr="00570ACC" w:rsidRDefault="0018270C" w:rsidP="00512FC3">
            <w:pPr>
              <w:rPr>
                <w:rFonts w:ascii="Corbel" w:eastAsia="Times New Roman" w:hAnsi="Corbel"/>
                <w:color w:val="000000"/>
                <w:sz w:val="19"/>
                <w:szCs w:val="19"/>
                <w:lang w:val="en-GB" w:eastAsia="en-GB"/>
              </w:rPr>
            </w:pPr>
            <w:r w:rsidRPr="00570ACC">
              <w:rPr>
                <w:rFonts w:ascii="Corbel" w:eastAsia="Times New Roman" w:hAnsi="Corbel"/>
                <w:color w:val="000000"/>
                <w:sz w:val="19"/>
                <w:szCs w:val="19"/>
                <w:lang w:val="en-GB" w:eastAsia="en-GB"/>
              </w:rPr>
              <w:t xml:space="preserve">Non-existence of </w:t>
            </w:r>
            <w:r w:rsidR="00C82D34">
              <w:rPr>
                <w:rFonts w:ascii="Corbel" w:eastAsia="Times New Roman" w:hAnsi="Corbel"/>
                <w:color w:val="000000"/>
                <w:sz w:val="19"/>
                <w:szCs w:val="19"/>
                <w:lang w:val="en-GB" w:eastAsia="en-GB"/>
              </w:rPr>
              <w:t xml:space="preserve">frameworks for </w:t>
            </w:r>
            <w:r w:rsidR="002D0A6D">
              <w:rPr>
                <w:rFonts w:ascii="Corbel" w:eastAsia="Times New Roman" w:hAnsi="Corbel"/>
                <w:color w:val="000000"/>
                <w:sz w:val="19"/>
                <w:szCs w:val="19"/>
                <w:lang w:val="en-GB" w:eastAsia="en-GB"/>
              </w:rPr>
              <w:t xml:space="preserve">the systematic assessment of </w:t>
            </w:r>
            <w:r w:rsidR="00C82D34">
              <w:rPr>
                <w:rFonts w:ascii="Corbel" w:eastAsia="Times New Roman" w:hAnsi="Corbel"/>
                <w:color w:val="000000"/>
                <w:sz w:val="19"/>
                <w:szCs w:val="19"/>
                <w:lang w:val="en-GB" w:eastAsia="en-GB"/>
              </w:rPr>
              <w:t xml:space="preserve">integrity in </w:t>
            </w:r>
            <w:r w:rsidR="002D0A6D">
              <w:rPr>
                <w:rFonts w:ascii="Corbel" w:eastAsia="Times New Roman" w:hAnsi="Corbel"/>
                <w:color w:val="000000"/>
                <w:sz w:val="19"/>
                <w:szCs w:val="19"/>
                <w:lang w:val="en-GB" w:eastAsia="en-GB"/>
              </w:rPr>
              <w:t>trade policies</w:t>
            </w:r>
          </w:p>
        </w:tc>
        <w:tc>
          <w:tcPr>
            <w:tcW w:w="1086" w:type="dxa"/>
            <w:tcBorders>
              <w:top w:val="nil"/>
              <w:left w:val="nil"/>
              <w:bottom w:val="single" w:sz="4" w:space="0" w:color="auto"/>
              <w:right w:val="single" w:sz="4" w:space="0" w:color="auto"/>
            </w:tcBorders>
            <w:shd w:val="clear" w:color="auto" w:fill="EBF1DE"/>
            <w:vAlign w:val="center"/>
            <w:hideMark/>
          </w:tcPr>
          <w:p w14:paraId="1350ECBC" w14:textId="77777777" w:rsidR="0018270C" w:rsidRPr="002D0A6D" w:rsidRDefault="0018270C" w:rsidP="00512FC3">
            <w:pPr>
              <w:rPr>
                <w:rFonts w:ascii="Corbel" w:eastAsia="Times New Roman" w:hAnsi="Corbel"/>
                <w:b/>
                <w:bCs/>
                <w:color w:val="000000"/>
                <w:sz w:val="19"/>
                <w:szCs w:val="19"/>
                <w:lang w:val="en-GB" w:eastAsia="en-GB"/>
              </w:rPr>
            </w:pPr>
            <w:r w:rsidRPr="002D0A6D">
              <w:rPr>
                <w:rFonts w:ascii="Corbel" w:eastAsia="Times New Roman" w:hAnsi="Corbel"/>
                <w:b/>
                <w:bCs/>
                <w:color w:val="000000"/>
                <w:sz w:val="19"/>
                <w:szCs w:val="19"/>
                <w:lang w:val="en-GB" w:eastAsia="en-GB"/>
              </w:rPr>
              <w:t xml:space="preserve">3.1. Moderate </w:t>
            </w:r>
          </w:p>
        </w:tc>
        <w:tc>
          <w:tcPr>
            <w:tcW w:w="1701" w:type="dxa"/>
            <w:tcBorders>
              <w:top w:val="nil"/>
              <w:left w:val="nil"/>
              <w:bottom w:val="single" w:sz="4" w:space="0" w:color="auto"/>
              <w:right w:val="single" w:sz="4" w:space="0" w:color="auto"/>
            </w:tcBorders>
            <w:shd w:val="clear" w:color="auto" w:fill="EBF1DE"/>
            <w:vAlign w:val="center"/>
            <w:hideMark/>
          </w:tcPr>
          <w:p w14:paraId="0EE040DE" w14:textId="77777777" w:rsidR="00DF7384" w:rsidRDefault="0018270C" w:rsidP="00512FC3">
            <w:pPr>
              <w:rPr>
                <w:rFonts w:ascii="Corbel" w:eastAsia="Times New Roman" w:hAnsi="Corbel"/>
                <w:color w:val="000000"/>
                <w:sz w:val="19"/>
                <w:szCs w:val="19"/>
                <w:lang w:val="en-GB" w:eastAsia="en-GB"/>
              </w:rPr>
            </w:pPr>
            <w:r w:rsidRPr="00570ACC">
              <w:rPr>
                <w:rFonts w:ascii="Corbel" w:eastAsia="Times New Roman" w:hAnsi="Corbel"/>
                <w:b/>
                <w:bCs/>
                <w:color w:val="000000"/>
                <w:sz w:val="19"/>
                <w:szCs w:val="19"/>
                <w:lang w:val="en-GB" w:eastAsia="en-GB"/>
              </w:rPr>
              <w:t>3.1.</w:t>
            </w:r>
            <w:r w:rsidRPr="00570ACC">
              <w:rPr>
                <w:rFonts w:ascii="Corbel" w:eastAsia="Times New Roman" w:hAnsi="Corbel"/>
                <w:color w:val="000000"/>
                <w:sz w:val="19"/>
                <w:szCs w:val="19"/>
                <w:lang w:val="en-GB" w:eastAsia="en-GB"/>
              </w:rPr>
              <w:t xml:space="preserve"> </w:t>
            </w:r>
            <w:r w:rsidR="00DF7384" w:rsidRPr="00DF7384">
              <w:rPr>
                <w:rFonts w:ascii="Corbel" w:eastAsia="Times New Roman" w:hAnsi="Corbel"/>
                <w:b/>
                <w:bCs/>
                <w:color w:val="000000"/>
                <w:sz w:val="19"/>
                <w:szCs w:val="19"/>
                <w:lang w:val="en-GB" w:eastAsia="en-GB"/>
              </w:rPr>
              <w:t>Low</w:t>
            </w:r>
            <w:r w:rsidR="008B4041" w:rsidRPr="00570ACC">
              <w:rPr>
                <w:rFonts w:ascii="Corbel" w:eastAsia="Times New Roman" w:hAnsi="Corbel"/>
                <w:color w:val="000000"/>
                <w:sz w:val="19"/>
                <w:szCs w:val="19"/>
                <w:lang w:val="en-GB" w:eastAsia="en-GB"/>
              </w:rPr>
              <w:t xml:space="preserve"> </w:t>
            </w:r>
          </w:p>
          <w:p w14:paraId="2296AD28" w14:textId="296840F1" w:rsidR="0018270C" w:rsidRPr="00570ACC" w:rsidRDefault="00DF7384" w:rsidP="00512FC3">
            <w:pPr>
              <w:rPr>
                <w:rFonts w:ascii="Corbel" w:eastAsia="Times New Roman" w:hAnsi="Corbel"/>
                <w:color w:val="000000"/>
                <w:sz w:val="19"/>
                <w:szCs w:val="19"/>
                <w:lang w:val="en-GB" w:eastAsia="en-GB"/>
              </w:rPr>
            </w:pPr>
            <w:r>
              <w:rPr>
                <w:rFonts w:ascii="Corbel" w:eastAsia="Times New Roman" w:hAnsi="Corbel"/>
                <w:color w:val="000000"/>
                <w:sz w:val="19"/>
                <w:szCs w:val="19"/>
                <w:lang w:val="en-GB" w:eastAsia="en-GB"/>
              </w:rPr>
              <w:t xml:space="preserve">1.Some </w:t>
            </w:r>
            <w:r w:rsidR="008B4041" w:rsidRPr="00570ACC">
              <w:rPr>
                <w:rFonts w:ascii="Corbel" w:eastAsia="Times New Roman" w:hAnsi="Corbel"/>
                <w:color w:val="000000"/>
                <w:sz w:val="19"/>
                <w:szCs w:val="19"/>
                <w:lang w:val="en-GB" w:eastAsia="en-GB"/>
              </w:rPr>
              <w:t xml:space="preserve">measures undertaken by LAS to improve transparency and effectiveness </w:t>
            </w:r>
            <w:r w:rsidR="00F3764C" w:rsidRPr="00570ACC">
              <w:rPr>
                <w:rFonts w:ascii="Corbel" w:eastAsia="Times New Roman" w:hAnsi="Corbel"/>
                <w:color w:val="000000"/>
                <w:sz w:val="19"/>
                <w:szCs w:val="19"/>
                <w:lang w:val="en-GB" w:eastAsia="en-GB"/>
              </w:rPr>
              <w:t xml:space="preserve">in the notification of </w:t>
            </w:r>
            <w:r w:rsidR="008B4041" w:rsidRPr="00570ACC">
              <w:rPr>
                <w:rFonts w:ascii="Corbel" w:eastAsia="Times New Roman" w:hAnsi="Corbel"/>
                <w:color w:val="000000"/>
                <w:sz w:val="19"/>
                <w:szCs w:val="19"/>
                <w:lang w:val="en-GB" w:eastAsia="en-GB"/>
              </w:rPr>
              <w:t>trade policies.</w:t>
            </w:r>
            <w:r w:rsidR="0018270C" w:rsidRPr="00570ACC">
              <w:rPr>
                <w:rFonts w:ascii="Corbel" w:eastAsia="Times New Roman" w:hAnsi="Corbel"/>
                <w:color w:val="000000"/>
                <w:sz w:val="19"/>
                <w:szCs w:val="19"/>
                <w:lang w:val="en-GB" w:eastAsia="en-GB"/>
              </w:rPr>
              <w:t xml:space="preserve"> </w:t>
            </w:r>
          </w:p>
        </w:tc>
        <w:tc>
          <w:tcPr>
            <w:tcW w:w="1134" w:type="dxa"/>
            <w:tcBorders>
              <w:top w:val="nil"/>
              <w:left w:val="nil"/>
              <w:bottom w:val="single" w:sz="4" w:space="0" w:color="auto"/>
              <w:right w:val="single" w:sz="4" w:space="0" w:color="auto"/>
            </w:tcBorders>
            <w:shd w:val="clear" w:color="auto" w:fill="EBF1DE"/>
            <w:vAlign w:val="center"/>
            <w:hideMark/>
          </w:tcPr>
          <w:p w14:paraId="097DAE9A" w14:textId="60C99004" w:rsidR="0018270C" w:rsidRPr="00570ACC" w:rsidRDefault="00544C6F" w:rsidP="00512FC3">
            <w:pPr>
              <w:rPr>
                <w:rFonts w:ascii="Corbel" w:eastAsia="Times New Roman" w:hAnsi="Corbel"/>
                <w:color w:val="000000"/>
                <w:sz w:val="19"/>
                <w:szCs w:val="19"/>
                <w:lang w:val="en-GB" w:eastAsia="en-GB"/>
              </w:rPr>
            </w:pPr>
            <w:r w:rsidRPr="00570ACC">
              <w:rPr>
                <w:rFonts w:ascii="Corbel" w:eastAsia="Times New Roman" w:hAnsi="Corbel"/>
                <w:b/>
                <w:bCs/>
                <w:color w:val="000000"/>
                <w:sz w:val="19"/>
                <w:szCs w:val="19"/>
                <w:lang w:val="en-GB" w:eastAsia="en-GB"/>
              </w:rPr>
              <w:t>3.1</w:t>
            </w:r>
            <w:r w:rsidRPr="00570ACC">
              <w:rPr>
                <w:rFonts w:ascii="Corbel" w:eastAsia="Times New Roman" w:hAnsi="Corbel"/>
                <w:color w:val="000000"/>
                <w:sz w:val="19"/>
                <w:szCs w:val="19"/>
                <w:lang w:val="en-GB" w:eastAsia="en-GB"/>
              </w:rPr>
              <w:t xml:space="preserve"> </w:t>
            </w:r>
            <w:r w:rsidR="0018270C" w:rsidRPr="00570ACC">
              <w:rPr>
                <w:rFonts w:ascii="Corbel" w:eastAsia="Times New Roman" w:hAnsi="Corbel"/>
                <w:b/>
                <w:bCs/>
                <w:color w:val="000000"/>
                <w:sz w:val="19"/>
                <w:szCs w:val="19"/>
                <w:lang w:val="en-GB" w:eastAsia="en-GB"/>
              </w:rPr>
              <w:t>Moderate</w:t>
            </w:r>
            <w:r w:rsidR="0018270C" w:rsidRPr="00570ACC">
              <w:rPr>
                <w:rFonts w:ascii="Corbel" w:eastAsia="Times New Roman" w:hAnsi="Corbel"/>
                <w:color w:val="000000"/>
                <w:sz w:val="19"/>
                <w:szCs w:val="19"/>
                <w:lang w:val="en-GB" w:eastAsia="en-GB"/>
              </w:rPr>
              <w:t xml:space="preserve"> </w:t>
            </w:r>
          </w:p>
        </w:tc>
        <w:tc>
          <w:tcPr>
            <w:tcW w:w="2126" w:type="dxa"/>
            <w:tcBorders>
              <w:top w:val="nil"/>
              <w:left w:val="nil"/>
              <w:bottom w:val="single" w:sz="4" w:space="0" w:color="auto"/>
              <w:right w:val="single" w:sz="4" w:space="0" w:color="auto"/>
            </w:tcBorders>
            <w:shd w:val="clear" w:color="auto" w:fill="EBF1DE"/>
            <w:vAlign w:val="center"/>
            <w:hideMark/>
          </w:tcPr>
          <w:p w14:paraId="329A04D9" w14:textId="77777777" w:rsidR="00291E25" w:rsidRPr="00570ACC" w:rsidRDefault="00544C6F" w:rsidP="00512FC3">
            <w:pPr>
              <w:rPr>
                <w:rFonts w:asciiTheme="minorHAnsi" w:eastAsia="Times New Roman" w:hAnsiTheme="minorHAnsi" w:cstheme="minorHAnsi"/>
                <w:sz w:val="19"/>
                <w:szCs w:val="19"/>
                <w:lang w:val="en-GB" w:eastAsia="en-GB"/>
              </w:rPr>
            </w:pPr>
            <w:r w:rsidRPr="00570ACC">
              <w:rPr>
                <w:rFonts w:ascii="Corbel" w:eastAsia="Times New Roman" w:hAnsi="Corbel"/>
                <w:color w:val="000000"/>
                <w:sz w:val="19"/>
                <w:szCs w:val="19"/>
                <w:lang w:val="en-GB" w:eastAsia="en-GB"/>
              </w:rPr>
              <w:t xml:space="preserve">3.1 </w:t>
            </w:r>
            <w:r w:rsidR="0018270C" w:rsidRPr="00570ACC">
              <w:rPr>
                <w:rFonts w:asciiTheme="minorHAnsi" w:eastAsia="Times New Roman" w:hAnsiTheme="minorHAnsi" w:cstheme="minorHAnsi"/>
                <w:b/>
                <w:bCs/>
                <w:sz w:val="19"/>
                <w:szCs w:val="19"/>
                <w:lang w:val="en-GB" w:eastAsia="en-GB"/>
              </w:rPr>
              <w:t>Moderate</w:t>
            </w:r>
            <w:r w:rsidR="000232BD" w:rsidRPr="00570ACC">
              <w:rPr>
                <w:rFonts w:asciiTheme="minorHAnsi" w:eastAsia="Times New Roman" w:hAnsiTheme="minorHAnsi" w:cstheme="minorHAnsi"/>
                <w:sz w:val="19"/>
                <w:szCs w:val="19"/>
                <w:lang w:val="en-GB" w:eastAsia="en-GB"/>
              </w:rPr>
              <w:t>.</w:t>
            </w:r>
            <w:r w:rsidR="0018270C" w:rsidRPr="00570ACC">
              <w:rPr>
                <w:rFonts w:asciiTheme="minorHAnsi" w:eastAsia="Times New Roman" w:hAnsiTheme="minorHAnsi" w:cstheme="minorHAnsi"/>
                <w:sz w:val="19"/>
                <w:szCs w:val="19"/>
                <w:lang w:val="en-GB" w:eastAsia="en-GB"/>
              </w:rPr>
              <w:t xml:space="preserve"> </w:t>
            </w:r>
            <w:bookmarkStart w:id="72" w:name="_Hlk40624180"/>
          </w:p>
          <w:p w14:paraId="4B8D8F2C" w14:textId="17326C9E" w:rsidR="00291E25" w:rsidRPr="00570ACC" w:rsidRDefault="00A557A2" w:rsidP="00A557A2">
            <w:pPr>
              <w:pStyle w:val="ListParagraph"/>
              <w:tabs>
                <w:tab w:val="left" w:pos="360"/>
              </w:tabs>
              <w:ind w:left="35"/>
              <w:rPr>
                <w:rFonts w:asciiTheme="minorHAnsi" w:hAnsiTheme="minorHAnsi" w:cstheme="minorHAnsi"/>
                <w:sz w:val="19"/>
                <w:szCs w:val="19"/>
                <w:lang w:val="en-GB" w:eastAsia="en-GB"/>
              </w:rPr>
            </w:pPr>
            <w:r>
              <w:rPr>
                <w:rFonts w:asciiTheme="minorHAnsi" w:hAnsiTheme="minorHAnsi" w:cstheme="minorHAnsi"/>
                <w:sz w:val="19"/>
                <w:szCs w:val="19"/>
                <w:lang w:val="en-GB" w:eastAsia="en-GB"/>
              </w:rPr>
              <w:t xml:space="preserve">1. </w:t>
            </w:r>
            <w:r w:rsidR="00291E25" w:rsidRPr="00570ACC">
              <w:rPr>
                <w:rFonts w:asciiTheme="minorHAnsi" w:hAnsiTheme="minorHAnsi" w:cstheme="minorHAnsi"/>
                <w:sz w:val="19"/>
                <w:szCs w:val="19"/>
                <w:lang w:val="en-GB" w:eastAsia="en-GB"/>
              </w:rPr>
              <w:t xml:space="preserve">Review of potential exposure to </w:t>
            </w:r>
            <w:r w:rsidR="00F22BC1" w:rsidRPr="00570ACC">
              <w:rPr>
                <w:rFonts w:asciiTheme="minorHAnsi" w:hAnsiTheme="minorHAnsi" w:cstheme="minorHAnsi"/>
                <w:sz w:val="19"/>
                <w:szCs w:val="19"/>
                <w:lang w:val="en-GB" w:eastAsia="en-GB"/>
              </w:rPr>
              <w:t>corruption in practices by border control agencies.</w:t>
            </w:r>
          </w:p>
          <w:p w14:paraId="1B230266" w14:textId="55536516" w:rsidR="00F22BC1" w:rsidRPr="00570ACC" w:rsidRDefault="00A557A2" w:rsidP="00A557A2">
            <w:pPr>
              <w:pStyle w:val="ListParagraph"/>
              <w:tabs>
                <w:tab w:val="left" w:pos="360"/>
              </w:tabs>
              <w:ind w:left="35"/>
              <w:rPr>
                <w:rFonts w:asciiTheme="minorHAnsi" w:hAnsiTheme="minorHAnsi" w:cstheme="minorHAnsi"/>
                <w:sz w:val="19"/>
                <w:szCs w:val="19"/>
                <w:lang w:val="en-GB" w:eastAsia="en-GB"/>
              </w:rPr>
            </w:pPr>
            <w:r>
              <w:rPr>
                <w:rFonts w:asciiTheme="minorHAnsi" w:hAnsiTheme="minorHAnsi" w:cstheme="minorHAnsi"/>
                <w:sz w:val="19"/>
                <w:szCs w:val="19"/>
                <w:lang w:val="en-GB" w:eastAsia="en-GB"/>
              </w:rPr>
              <w:t xml:space="preserve">2. </w:t>
            </w:r>
            <w:r w:rsidR="00634332" w:rsidRPr="00634332">
              <w:rPr>
                <w:rFonts w:asciiTheme="minorHAnsi" w:hAnsiTheme="minorHAnsi" w:cstheme="minorHAnsi"/>
                <w:sz w:val="19"/>
                <w:szCs w:val="19"/>
                <w:lang w:val="en-GB" w:eastAsia="en-GB"/>
              </w:rPr>
              <w:t>3. Improved mechanisms of notification of new trade policies under ECOSOC.</w:t>
            </w:r>
          </w:p>
          <w:p w14:paraId="359FFFF8" w14:textId="3039811C" w:rsidR="0018270C" w:rsidRPr="000F0917" w:rsidRDefault="00A30EEB" w:rsidP="00A30EEB">
            <w:pPr>
              <w:pStyle w:val="ListParagraph"/>
              <w:tabs>
                <w:tab w:val="left" w:pos="360"/>
              </w:tabs>
              <w:ind w:left="35"/>
              <w:rPr>
                <w:rFonts w:asciiTheme="minorHAnsi" w:hAnsiTheme="minorHAnsi" w:cstheme="minorHAnsi"/>
                <w:sz w:val="19"/>
                <w:szCs w:val="19"/>
                <w:lang w:val="en-US" w:eastAsia="en-GB"/>
              </w:rPr>
            </w:pPr>
            <w:r>
              <w:rPr>
                <w:rFonts w:asciiTheme="minorHAnsi" w:hAnsiTheme="minorHAnsi" w:cstheme="minorHAnsi"/>
                <w:sz w:val="19"/>
                <w:szCs w:val="19"/>
                <w:lang w:val="en-GB"/>
              </w:rPr>
              <w:t xml:space="preserve">3. </w:t>
            </w:r>
            <w:r w:rsidR="00F3764C" w:rsidRPr="00570ACC">
              <w:rPr>
                <w:rFonts w:asciiTheme="minorHAnsi" w:hAnsiTheme="minorHAnsi" w:cstheme="minorHAnsi"/>
                <w:sz w:val="19"/>
                <w:szCs w:val="19"/>
              </w:rPr>
              <w:t>Authorized Economic Operators /Gold Card Programme</w:t>
            </w:r>
            <w:bookmarkEnd w:id="72"/>
            <w:r w:rsidR="000F0917">
              <w:rPr>
                <w:rFonts w:asciiTheme="minorHAnsi" w:hAnsiTheme="minorHAnsi" w:cstheme="minorHAnsi"/>
                <w:sz w:val="19"/>
                <w:szCs w:val="19"/>
              </w:rPr>
              <w:t xml:space="preserve"> i</w:t>
            </w:r>
            <w:r w:rsidR="000F0917">
              <w:rPr>
                <w:rFonts w:asciiTheme="minorHAnsi" w:hAnsiTheme="minorHAnsi" w:cstheme="minorHAnsi"/>
                <w:sz w:val="19"/>
                <w:szCs w:val="19"/>
                <w:lang w:val="en-US"/>
              </w:rPr>
              <w:t>n Jordan</w:t>
            </w:r>
          </w:p>
        </w:tc>
      </w:tr>
      <w:tr w:rsidR="0018270C" w:rsidRPr="00570ACC" w14:paraId="764E661F" w14:textId="77777777" w:rsidTr="00136F1F">
        <w:trPr>
          <w:trHeight w:val="1110"/>
        </w:trPr>
        <w:tc>
          <w:tcPr>
            <w:tcW w:w="1255" w:type="dxa"/>
            <w:vMerge/>
            <w:vAlign w:val="center"/>
            <w:hideMark/>
          </w:tcPr>
          <w:p w14:paraId="637952F4" w14:textId="77777777" w:rsidR="0018270C" w:rsidRPr="00570ACC" w:rsidRDefault="0018270C" w:rsidP="00512FC3">
            <w:pPr>
              <w:rPr>
                <w:rFonts w:ascii="Corbel" w:eastAsia="Times New Roman" w:hAnsi="Corbel"/>
                <w:sz w:val="19"/>
                <w:szCs w:val="19"/>
                <w:lang w:val="en-GB" w:eastAsia="en-GB"/>
              </w:rPr>
            </w:pPr>
          </w:p>
        </w:tc>
        <w:tc>
          <w:tcPr>
            <w:tcW w:w="1800" w:type="dxa"/>
            <w:tcBorders>
              <w:top w:val="nil"/>
              <w:left w:val="nil"/>
              <w:bottom w:val="single" w:sz="4" w:space="0" w:color="auto"/>
              <w:right w:val="single" w:sz="4" w:space="0" w:color="auto"/>
            </w:tcBorders>
            <w:shd w:val="clear" w:color="auto" w:fill="EBF1DE"/>
            <w:vAlign w:val="center"/>
            <w:hideMark/>
          </w:tcPr>
          <w:p w14:paraId="4070359B" w14:textId="77777777" w:rsidR="0018270C" w:rsidRPr="00570ACC" w:rsidRDefault="0018270C" w:rsidP="00512FC3">
            <w:pPr>
              <w:rPr>
                <w:rFonts w:ascii="Corbel" w:eastAsia="Times New Roman" w:hAnsi="Corbel"/>
                <w:color w:val="000000"/>
                <w:sz w:val="19"/>
                <w:szCs w:val="19"/>
                <w:lang w:val="en-GB" w:eastAsia="en-GB"/>
              </w:rPr>
            </w:pPr>
            <w:r w:rsidRPr="00570ACC">
              <w:rPr>
                <w:rFonts w:ascii="Corbel" w:eastAsia="Times New Roman" w:hAnsi="Corbel"/>
                <w:b/>
                <w:bCs/>
                <w:color w:val="000000"/>
                <w:sz w:val="19"/>
                <w:szCs w:val="19"/>
                <w:lang w:val="en-GB" w:eastAsia="en-GB"/>
              </w:rPr>
              <w:t>Indicator 3.2</w:t>
            </w:r>
            <w:r w:rsidRPr="00570ACC">
              <w:rPr>
                <w:rFonts w:ascii="Corbel" w:eastAsia="Times New Roman" w:hAnsi="Corbel"/>
                <w:color w:val="000000"/>
                <w:sz w:val="19"/>
                <w:szCs w:val="19"/>
                <w:lang w:val="en-GB" w:eastAsia="en-GB"/>
              </w:rPr>
              <w:t>. Number of gender responsive mechanisms to ensure systematic integration of gender sensitivities in trade policymaking and negotiations</w:t>
            </w:r>
          </w:p>
        </w:tc>
        <w:tc>
          <w:tcPr>
            <w:tcW w:w="1170" w:type="dxa"/>
            <w:tcBorders>
              <w:top w:val="nil"/>
              <w:left w:val="nil"/>
              <w:bottom w:val="single" w:sz="4" w:space="0" w:color="auto"/>
              <w:right w:val="single" w:sz="4" w:space="0" w:color="auto"/>
            </w:tcBorders>
            <w:shd w:val="clear" w:color="auto" w:fill="EBF1DE"/>
            <w:vAlign w:val="center"/>
            <w:hideMark/>
          </w:tcPr>
          <w:p w14:paraId="7192A6B8" w14:textId="77777777" w:rsidR="007576B6" w:rsidRDefault="0018270C" w:rsidP="00512FC3">
            <w:pPr>
              <w:rPr>
                <w:rFonts w:ascii="Corbel" w:eastAsia="Times New Roman" w:hAnsi="Corbel"/>
                <w:b/>
                <w:bCs/>
                <w:color w:val="000000"/>
                <w:sz w:val="19"/>
                <w:szCs w:val="19"/>
                <w:lang w:val="en-GB" w:eastAsia="en-GB"/>
              </w:rPr>
            </w:pPr>
            <w:r w:rsidRPr="00570ACC">
              <w:rPr>
                <w:rFonts w:ascii="Corbel" w:eastAsia="Times New Roman" w:hAnsi="Corbel"/>
                <w:b/>
                <w:bCs/>
                <w:color w:val="000000"/>
                <w:sz w:val="19"/>
                <w:szCs w:val="19"/>
                <w:lang w:val="en-GB" w:eastAsia="en-GB"/>
              </w:rPr>
              <w:t>3.2.</w:t>
            </w:r>
            <w:r w:rsidRPr="00570ACC">
              <w:rPr>
                <w:rFonts w:ascii="Corbel" w:eastAsia="Times New Roman" w:hAnsi="Corbel"/>
                <w:color w:val="000000"/>
                <w:sz w:val="19"/>
                <w:szCs w:val="19"/>
                <w:lang w:val="en-GB" w:eastAsia="en-GB"/>
              </w:rPr>
              <w:t xml:space="preserve"> </w:t>
            </w:r>
            <w:r w:rsidRPr="00FF28EE">
              <w:rPr>
                <w:rFonts w:ascii="Corbel" w:eastAsia="Times New Roman" w:hAnsi="Corbel"/>
                <w:b/>
                <w:bCs/>
                <w:color w:val="000000"/>
                <w:sz w:val="19"/>
                <w:szCs w:val="19"/>
                <w:lang w:val="en-GB" w:eastAsia="en-GB"/>
              </w:rPr>
              <w:t>0</w:t>
            </w:r>
          </w:p>
          <w:p w14:paraId="2BC5426B" w14:textId="2212E70B" w:rsidR="0018270C" w:rsidRPr="00570ACC" w:rsidRDefault="0018270C" w:rsidP="00512FC3">
            <w:pPr>
              <w:rPr>
                <w:rFonts w:ascii="Corbel" w:eastAsia="Times New Roman" w:hAnsi="Corbel"/>
                <w:color w:val="000000"/>
                <w:sz w:val="19"/>
                <w:szCs w:val="19"/>
                <w:lang w:val="en-GB" w:eastAsia="en-GB"/>
              </w:rPr>
            </w:pPr>
            <w:r w:rsidRPr="00570ACC">
              <w:rPr>
                <w:rFonts w:ascii="Corbel" w:eastAsia="Times New Roman" w:hAnsi="Corbel"/>
                <w:color w:val="000000"/>
                <w:sz w:val="19"/>
                <w:szCs w:val="19"/>
                <w:lang w:val="en-GB" w:eastAsia="en-GB"/>
              </w:rPr>
              <w:t>[2017]</w:t>
            </w:r>
          </w:p>
        </w:tc>
        <w:tc>
          <w:tcPr>
            <w:tcW w:w="1086" w:type="dxa"/>
            <w:tcBorders>
              <w:top w:val="nil"/>
              <w:left w:val="nil"/>
              <w:bottom w:val="single" w:sz="4" w:space="0" w:color="auto"/>
              <w:right w:val="single" w:sz="4" w:space="0" w:color="auto"/>
            </w:tcBorders>
            <w:shd w:val="clear" w:color="auto" w:fill="EBF1DE"/>
            <w:vAlign w:val="center"/>
            <w:hideMark/>
          </w:tcPr>
          <w:p w14:paraId="20C5126C" w14:textId="77777777" w:rsidR="007576B6" w:rsidRDefault="0018270C" w:rsidP="00512FC3">
            <w:pPr>
              <w:rPr>
                <w:rFonts w:ascii="Corbel" w:eastAsia="Times New Roman" w:hAnsi="Corbel"/>
                <w:color w:val="000000"/>
                <w:sz w:val="19"/>
                <w:szCs w:val="19"/>
                <w:lang w:val="en-GB" w:eastAsia="en-GB"/>
              </w:rPr>
            </w:pPr>
            <w:r w:rsidRPr="00570ACC">
              <w:rPr>
                <w:rFonts w:ascii="Corbel" w:eastAsia="Times New Roman" w:hAnsi="Corbel"/>
                <w:b/>
                <w:bCs/>
                <w:color w:val="000000"/>
                <w:sz w:val="19"/>
                <w:szCs w:val="19"/>
                <w:lang w:val="en-GB" w:eastAsia="en-GB"/>
              </w:rPr>
              <w:t>3.2.</w:t>
            </w:r>
            <w:r w:rsidRPr="00570ACC">
              <w:rPr>
                <w:rFonts w:ascii="Corbel" w:eastAsia="Times New Roman" w:hAnsi="Corbel"/>
                <w:color w:val="000000"/>
                <w:sz w:val="19"/>
                <w:szCs w:val="19"/>
                <w:lang w:val="en-GB" w:eastAsia="en-GB"/>
              </w:rPr>
              <w:t xml:space="preserve"> </w:t>
            </w:r>
          </w:p>
          <w:p w14:paraId="4991C4CF" w14:textId="4A3650C3" w:rsidR="0018270C" w:rsidRPr="00570ACC" w:rsidRDefault="00871438" w:rsidP="00512FC3">
            <w:pPr>
              <w:rPr>
                <w:rFonts w:ascii="Corbel" w:eastAsia="Times New Roman" w:hAnsi="Corbel"/>
                <w:color w:val="000000"/>
                <w:sz w:val="19"/>
                <w:szCs w:val="19"/>
                <w:lang w:val="en-GB" w:eastAsia="en-GB"/>
              </w:rPr>
            </w:pPr>
            <w:r w:rsidRPr="00FF28EE">
              <w:rPr>
                <w:rFonts w:ascii="Corbel" w:eastAsia="Times New Roman" w:hAnsi="Corbel"/>
                <w:b/>
                <w:bCs/>
                <w:color w:val="000000"/>
                <w:sz w:val="19"/>
                <w:szCs w:val="19"/>
                <w:lang w:val="en-GB" w:eastAsia="en-GB"/>
              </w:rPr>
              <w:t>2</w:t>
            </w:r>
          </w:p>
        </w:tc>
        <w:tc>
          <w:tcPr>
            <w:tcW w:w="1701" w:type="dxa"/>
            <w:tcBorders>
              <w:top w:val="nil"/>
              <w:left w:val="nil"/>
              <w:bottom w:val="single" w:sz="4" w:space="0" w:color="auto"/>
              <w:right w:val="single" w:sz="4" w:space="0" w:color="auto"/>
            </w:tcBorders>
            <w:shd w:val="clear" w:color="auto" w:fill="EBF1DE"/>
            <w:vAlign w:val="center"/>
            <w:hideMark/>
          </w:tcPr>
          <w:p w14:paraId="2CB43BB6" w14:textId="77777777" w:rsidR="004040C2" w:rsidRDefault="0018270C" w:rsidP="00871438">
            <w:pPr>
              <w:rPr>
                <w:rFonts w:ascii="Corbel" w:eastAsia="Times New Roman" w:hAnsi="Corbel"/>
                <w:color w:val="000000"/>
                <w:sz w:val="19"/>
                <w:szCs w:val="19"/>
                <w:lang w:val="en-GB" w:eastAsia="en-GB"/>
              </w:rPr>
            </w:pPr>
            <w:r w:rsidRPr="00570ACC">
              <w:rPr>
                <w:rFonts w:ascii="Corbel" w:eastAsia="Times New Roman" w:hAnsi="Corbel"/>
                <w:b/>
                <w:bCs/>
                <w:color w:val="000000"/>
                <w:sz w:val="19"/>
                <w:szCs w:val="19"/>
                <w:lang w:val="en-GB" w:eastAsia="en-GB"/>
              </w:rPr>
              <w:t>3.2.</w:t>
            </w:r>
            <w:r w:rsidRPr="00570ACC">
              <w:rPr>
                <w:rFonts w:ascii="Corbel" w:eastAsia="Times New Roman" w:hAnsi="Corbel"/>
                <w:color w:val="000000"/>
                <w:sz w:val="19"/>
                <w:szCs w:val="19"/>
                <w:lang w:val="en-GB" w:eastAsia="en-GB"/>
              </w:rPr>
              <w:t xml:space="preserve"> </w:t>
            </w:r>
            <w:r w:rsidR="004040C2" w:rsidRPr="004040C2">
              <w:rPr>
                <w:rFonts w:ascii="Corbel" w:eastAsia="Times New Roman" w:hAnsi="Corbel"/>
                <w:b/>
                <w:bCs/>
                <w:color w:val="000000"/>
                <w:sz w:val="19"/>
                <w:szCs w:val="19"/>
                <w:lang w:val="en-GB" w:eastAsia="en-GB"/>
              </w:rPr>
              <w:t>0</w:t>
            </w:r>
            <w:r w:rsidR="00871438" w:rsidRPr="00570ACC">
              <w:rPr>
                <w:rFonts w:ascii="Corbel" w:eastAsia="Times New Roman" w:hAnsi="Corbel"/>
                <w:color w:val="000000"/>
                <w:sz w:val="19"/>
                <w:szCs w:val="19"/>
                <w:lang w:val="en-GB" w:eastAsia="en-GB"/>
              </w:rPr>
              <w:t xml:space="preserve"> </w:t>
            </w:r>
          </w:p>
          <w:p w14:paraId="78380D0A" w14:textId="587E8DEC" w:rsidR="0018270C" w:rsidRPr="00570ACC" w:rsidRDefault="00D16DF4" w:rsidP="00512FC3">
            <w:pPr>
              <w:rPr>
                <w:rFonts w:ascii="Corbel" w:eastAsia="Times New Roman" w:hAnsi="Corbel"/>
                <w:color w:val="000000"/>
                <w:sz w:val="19"/>
                <w:szCs w:val="19"/>
                <w:lang w:val="en-GB" w:eastAsia="en-GB"/>
              </w:rPr>
            </w:pPr>
            <w:r w:rsidRPr="00570ACC">
              <w:rPr>
                <w:rFonts w:ascii="Corbel" w:eastAsia="Times New Roman" w:hAnsi="Corbel"/>
                <w:color w:val="000000"/>
                <w:sz w:val="19"/>
                <w:szCs w:val="19"/>
                <w:lang w:val="en-GB" w:eastAsia="en-GB"/>
              </w:rPr>
              <w:t>Analysis of the impacts of regional trade agreements to women</w:t>
            </w:r>
          </w:p>
        </w:tc>
        <w:tc>
          <w:tcPr>
            <w:tcW w:w="1134" w:type="dxa"/>
            <w:tcBorders>
              <w:top w:val="nil"/>
              <w:left w:val="nil"/>
              <w:bottom w:val="single" w:sz="4" w:space="0" w:color="auto"/>
              <w:right w:val="single" w:sz="4" w:space="0" w:color="auto"/>
            </w:tcBorders>
            <w:shd w:val="clear" w:color="auto" w:fill="EBF1DE"/>
            <w:vAlign w:val="center"/>
            <w:hideMark/>
          </w:tcPr>
          <w:p w14:paraId="67597B37" w14:textId="77777777" w:rsidR="007576B6" w:rsidRDefault="00B21033" w:rsidP="00512FC3">
            <w:pPr>
              <w:rPr>
                <w:rFonts w:ascii="Corbel" w:eastAsia="Times New Roman" w:hAnsi="Corbel"/>
                <w:b/>
                <w:bCs/>
                <w:color w:val="000000"/>
                <w:sz w:val="19"/>
                <w:szCs w:val="19"/>
                <w:lang w:val="en-GB" w:eastAsia="en-GB"/>
              </w:rPr>
            </w:pPr>
            <w:r w:rsidRPr="004040C2">
              <w:rPr>
                <w:rFonts w:ascii="Corbel" w:eastAsia="Times New Roman" w:hAnsi="Corbel"/>
                <w:b/>
                <w:bCs/>
                <w:color w:val="000000"/>
                <w:sz w:val="19"/>
                <w:szCs w:val="19"/>
                <w:lang w:val="en-GB" w:eastAsia="en-GB"/>
              </w:rPr>
              <w:t>3.2</w:t>
            </w:r>
          </w:p>
          <w:p w14:paraId="195942A7" w14:textId="6ED8DCFF" w:rsidR="0018270C" w:rsidRPr="004040C2" w:rsidRDefault="0018270C" w:rsidP="00512FC3">
            <w:pPr>
              <w:rPr>
                <w:rFonts w:ascii="Corbel" w:eastAsia="Times New Roman" w:hAnsi="Corbel"/>
                <w:b/>
                <w:bCs/>
                <w:color w:val="000000"/>
                <w:sz w:val="19"/>
                <w:szCs w:val="19"/>
                <w:lang w:val="en-GB" w:eastAsia="en-GB"/>
              </w:rPr>
            </w:pPr>
            <w:r w:rsidRPr="004040C2">
              <w:rPr>
                <w:rFonts w:ascii="Corbel" w:eastAsia="Times New Roman" w:hAnsi="Corbel"/>
                <w:b/>
                <w:bCs/>
                <w:color w:val="000000"/>
                <w:sz w:val="19"/>
                <w:szCs w:val="19"/>
                <w:lang w:val="en-GB" w:eastAsia="en-GB"/>
              </w:rPr>
              <w:t>2</w:t>
            </w:r>
          </w:p>
        </w:tc>
        <w:tc>
          <w:tcPr>
            <w:tcW w:w="2126" w:type="dxa"/>
            <w:tcBorders>
              <w:top w:val="nil"/>
              <w:left w:val="nil"/>
              <w:bottom w:val="single" w:sz="4" w:space="0" w:color="auto"/>
              <w:right w:val="single" w:sz="4" w:space="0" w:color="auto"/>
            </w:tcBorders>
            <w:shd w:val="clear" w:color="auto" w:fill="EBF1DE"/>
            <w:vAlign w:val="center"/>
            <w:hideMark/>
          </w:tcPr>
          <w:p w14:paraId="105ECAA0" w14:textId="118220B2" w:rsidR="0018270C" w:rsidRPr="007576B6" w:rsidRDefault="0018270C" w:rsidP="00512FC3">
            <w:pPr>
              <w:rPr>
                <w:rFonts w:ascii="Corbel" w:eastAsia="Times New Roman" w:hAnsi="Corbel"/>
                <w:b/>
                <w:bCs/>
                <w:color w:val="000000"/>
                <w:sz w:val="19"/>
                <w:szCs w:val="19"/>
                <w:lang w:val="en-GB" w:eastAsia="en-GB"/>
              </w:rPr>
            </w:pPr>
            <w:r w:rsidRPr="007576B6">
              <w:rPr>
                <w:rFonts w:ascii="Corbel" w:eastAsia="Times New Roman" w:hAnsi="Corbel"/>
                <w:b/>
                <w:bCs/>
                <w:color w:val="000000"/>
                <w:sz w:val="19"/>
                <w:szCs w:val="19"/>
                <w:lang w:val="en-GB" w:eastAsia="en-GB"/>
              </w:rPr>
              <w:t xml:space="preserve">3.2: </w:t>
            </w:r>
            <w:r w:rsidR="00DA4E6B">
              <w:rPr>
                <w:rFonts w:ascii="Corbel" w:eastAsia="Times New Roman" w:hAnsi="Corbel"/>
                <w:b/>
                <w:bCs/>
                <w:color w:val="000000"/>
                <w:sz w:val="19"/>
                <w:szCs w:val="19"/>
                <w:lang w:val="en-GB" w:eastAsia="en-GB"/>
              </w:rPr>
              <w:t>1</w:t>
            </w:r>
          </w:p>
          <w:p w14:paraId="1F901A51" w14:textId="6EE90F6E" w:rsidR="00871438" w:rsidRPr="0038548E" w:rsidRDefault="4948A8A6" w:rsidP="4F6DD0A6">
            <w:pPr>
              <w:pStyle w:val="ListParagraph"/>
              <w:tabs>
                <w:tab w:val="left" w:pos="288"/>
              </w:tabs>
              <w:ind w:left="0"/>
              <w:rPr>
                <w:rFonts w:asciiTheme="minorHAnsi" w:hAnsiTheme="minorHAnsi" w:cstheme="minorBidi"/>
                <w:sz w:val="19"/>
                <w:szCs w:val="19"/>
              </w:rPr>
            </w:pPr>
            <w:r w:rsidRPr="4F6DD0A6">
              <w:rPr>
                <w:rFonts w:asciiTheme="minorHAnsi" w:hAnsiTheme="minorHAnsi" w:cstheme="minorBidi"/>
                <w:sz w:val="19"/>
                <w:szCs w:val="19"/>
                <w:lang w:val="en-GB"/>
              </w:rPr>
              <w:t xml:space="preserve"> </w:t>
            </w:r>
            <w:r w:rsidR="736950D7" w:rsidRPr="4F6DD0A6">
              <w:rPr>
                <w:rFonts w:asciiTheme="minorHAnsi" w:hAnsiTheme="minorHAnsi" w:cstheme="minorBidi"/>
                <w:sz w:val="19"/>
                <w:szCs w:val="19"/>
                <w:lang w:val="en-GB"/>
              </w:rPr>
              <w:t>Moroccan Governmen</w:t>
            </w:r>
            <w:r w:rsidR="7ED8388C" w:rsidRPr="4F6DD0A6">
              <w:rPr>
                <w:rFonts w:asciiTheme="minorHAnsi" w:hAnsiTheme="minorHAnsi" w:cstheme="minorBidi"/>
                <w:sz w:val="19"/>
                <w:szCs w:val="19"/>
                <w:lang w:val="en-GB"/>
              </w:rPr>
              <w:t>t</w:t>
            </w:r>
            <w:r w:rsidR="2E94653D" w:rsidRPr="4F6DD0A6">
              <w:rPr>
                <w:rFonts w:asciiTheme="minorHAnsi" w:hAnsiTheme="minorHAnsi" w:cstheme="minorBidi"/>
                <w:sz w:val="19"/>
                <w:szCs w:val="19"/>
                <w:lang w:val="en-GB"/>
              </w:rPr>
              <w:t xml:space="preserve"> initiative</w:t>
            </w:r>
            <w:r w:rsidR="736950D7" w:rsidRPr="4F6DD0A6">
              <w:rPr>
                <w:rFonts w:asciiTheme="minorHAnsi" w:hAnsiTheme="minorHAnsi" w:cstheme="minorBidi"/>
                <w:sz w:val="19"/>
                <w:szCs w:val="19"/>
                <w:lang w:val="en-GB"/>
              </w:rPr>
              <w:t xml:space="preserve"> to foster assistance to </w:t>
            </w:r>
            <w:r w:rsidR="7ED8388C" w:rsidRPr="4F6DD0A6">
              <w:rPr>
                <w:rFonts w:asciiTheme="minorHAnsi" w:hAnsiTheme="minorHAnsi" w:cstheme="minorBidi"/>
                <w:sz w:val="19"/>
                <w:szCs w:val="19"/>
                <w:lang w:val="en-GB"/>
              </w:rPr>
              <w:t>Argan oil cooperatives, operated by women.</w:t>
            </w:r>
          </w:p>
        </w:tc>
      </w:tr>
    </w:tbl>
    <w:p w14:paraId="22E146AB" w14:textId="77777777" w:rsidR="00136F1F" w:rsidRDefault="00136F1F" w:rsidP="00A42F52">
      <w:pPr>
        <w:pStyle w:val="Heading2"/>
        <w:rPr>
          <w:lang w:val="en-GB"/>
        </w:rPr>
      </w:pPr>
      <w:bookmarkStart w:id="73" w:name="_Toc103506611"/>
      <w:bookmarkEnd w:id="71"/>
    </w:p>
    <w:p w14:paraId="4973E31A" w14:textId="2B136A49" w:rsidR="00846DBC" w:rsidRPr="00570ACC" w:rsidRDefault="00D12064" w:rsidP="00A42F52">
      <w:pPr>
        <w:pStyle w:val="Heading2"/>
        <w:rPr>
          <w:rFonts w:eastAsiaTheme="minorHAnsi"/>
          <w:lang w:val="en-GB"/>
        </w:rPr>
      </w:pPr>
      <w:r w:rsidRPr="00570ACC">
        <w:rPr>
          <w:lang w:val="en-GB"/>
        </w:rPr>
        <w:t xml:space="preserve">Section </w:t>
      </w:r>
      <w:r w:rsidR="00B72740" w:rsidRPr="00570ACC">
        <w:rPr>
          <w:lang w:val="en-GB"/>
        </w:rPr>
        <w:t>2</w:t>
      </w:r>
      <w:r w:rsidRPr="00570ACC">
        <w:rPr>
          <w:lang w:val="en-GB"/>
        </w:rPr>
        <w:t>: Progress against ou</w:t>
      </w:r>
      <w:r w:rsidR="00370D94" w:rsidRPr="00570ACC">
        <w:rPr>
          <w:lang w:val="en-GB"/>
        </w:rPr>
        <w:t>t</w:t>
      </w:r>
      <w:r w:rsidR="00110C4E" w:rsidRPr="00570ACC">
        <w:rPr>
          <w:lang w:val="en-GB"/>
        </w:rPr>
        <w:t>put</w:t>
      </w:r>
      <w:r w:rsidR="004915D2">
        <w:rPr>
          <w:lang w:val="en-GB"/>
        </w:rPr>
        <w:t>s</w:t>
      </w:r>
      <w:bookmarkEnd w:id="73"/>
    </w:p>
    <w:p w14:paraId="21CEBDA8" w14:textId="6D795FE1" w:rsidR="00402A5A" w:rsidRDefault="008C0D5E" w:rsidP="00E47EA3">
      <w:pPr>
        <w:spacing w:line="276" w:lineRule="auto"/>
        <w:jc w:val="both"/>
        <w:rPr>
          <w:rFonts w:ascii="Corbel" w:eastAsiaTheme="minorHAnsi" w:hAnsi="Corbel" w:cs="Arial"/>
          <w:sz w:val="22"/>
          <w:szCs w:val="22"/>
          <w:lang w:val="en-GB" w:eastAsia="en-US"/>
        </w:rPr>
      </w:pPr>
      <w:r>
        <w:rPr>
          <w:rFonts w:ascii="Corbel" w:eastAsiaTheme="minorHAnsi" w:hAnsi="Corbel" w:cs="Arial"/>
          <w:sz w:val="22"/>
          <w:szCs w:val="22"/>
          <w:lang w:val="en-GB" w:eastAsia="en-US"/>
        </w:rPr>
        <w:t>For the duration of the project, a</w:t>
      </w:r>
      <w:r w:rsidR="00CB2557" w:rsidRPr="00570ACC">
        <w:rPr>
          <w:rFonts w:ascii="Corbel" w:eastAsiaTheme="minorHAnsi" w:hAnsi="Corbel" w:cs="Arial"/>
          <w:sz w:val="22"/>
          <w:szCs w:val="22"/>
          <w:lang w:val="en-GB" w:eastAsia="en-US"/>
        </w:rPr>
        <w:t>ssistance to regional trade</w:t>
      </w:r>
      <w:r w:rsidR="000D6EE1" w:rsidRPr="00570ACC">
        <w:rPr>
          <w:rFonts w:ascii="Corbel" w:eastAsiaTheme="minorHAnsi" w:hAnsi="Corbel" w:cs="Arial"/>
          <w:sz w:val="22"/>
          <w:szCs w:val="22"/>
          <w:lang w:val="en-GB" w:eastAsia="en-US"/>
        </w:rPr>
        <w:t xml:space="preserve"> was designed in accordance with activities defined by the project document and customized to the policy priorit</w:t>
      </w:r>
      <w:r>
        <w:rPr>
          <w:rFonts w:ascii="Corbel" w:eastAsiaTheme="minorHAnsi" w:hAnsi="Corbel" w:cs="Arial"/>
          <w:sz w:val="22"/>
          <w:szCs w:val="22"/>
          <w:lang w:val="en-GB" w:eastAsia="en-US"/>
        </w:rPr>
        <w:t>ies established by LAS and its member states</w:t>
      </w:r>
      <w:r w:rsidR="000D6EE1" w:rsidRPr="00570ACC">
        <w:rPr>
          <w:rFonts w:ascii="Corbel" w:eastAsiaTheme="minorHAnsi" w:hAnsi="Corbel" w:cs="Arial"/>
          <w:sz w:val="22"/>
          <w:szCs w:val="22"/>
          <w:lang w:val="en-GB" w:eastAsia="en-US"/>
        </w:rPr>
        <w:t xml:space="preserve">. </w:t>
      </w:r>
      <w:r w:rsidR="006D17E6">
        <w:rPr>
          <w:rFonts w:ascii="Corbel" w:eastAsiaTheme="minorHAnsi" w:hAnsi="Corbel" w:cs="Arial"/>
          <w:sz w:val="22"/>
          <w:szCs w:val="22"/>
          <w:lang w:val="en-GB" w:eastAsia="en-US"/>
        </w:rPr>
        <w:t xml:space="preserve">The project focused on </w:t>
      </w:r>
      <w:r w:rsidR="00D6683B">
        <w:rPr>
          <w:rFonts w:ascii="Corbel" w:eastAsiaTheme="minorHAnsi" w:hAnsi="Corbel" w:cs="Arial"/>
          <w:sz w:val="22"/>
          <w:szCs w:val="22"/>
          <w:lang w:val="en-GB" w:eastAsia="en-US"/>
        </w:rPr>
        <w:t>measures to p</w:t>
      </w:r>
      <w:r w:rsidR="00402A5A" w:rsidRPr="00570ACC">
        <w:rPr>
          <w:rFonts w:ascii="Corbel" w:eastAsiaTheme="minorHAnsi" w:hAnsi="Corbel" w:cs="Arial"/>
          <w:iCs/>
          <w:sz w:val="22"/>
          <w:szCs w:val="22"/>
          <w:lang w:val="en-GB" w:eastAsia="en-US"/>
        </w:rPr>
        <w:t>romot</w:t>
      </w:r>
      <w:r w:rsidR="00D6683B">
        <w:rPr>
          <w:rFonts w:ascii="Corbel" w:eastAsiaTheme="minorHAnsi" w:hAnsi="Corbel" w:cs="Arial"/>
          <w:iCs/>
          <w:sz w:val="22"/>
          <w:szCs w:val="22"/>
          <w:lang w:val="en-GB" w:eastAsia="en-US"/>
        </w:rPr>
        <w:t>e</w:t>
      </w:r>
      <w:r w:rsidR="00402A5A" w:rsidRPr="00570ACC">
        <w:rPr>
          <w:rFonts w:ascii="Corbel" w:eastAsiaTheme="minorHAnsi" w:hAnsi="Corbel" w:cs="Arial"/>
          <w:iCs/>
          <w:sz w:val="22"/>
          <w:szCs w:val="22"/>
          <w:lang w:val="en-GB" w:eastAsia="en-US"/>
        </w:rPr>
        <w:t xml:space="preserve"> regional trade, </w:t>
      </w:r>
      <w:r w:rsidR="00402A5A" w:rsidRPr="00570ACC">
        <w:rPr>
          <w:rFonts w:ascii="Corbel" w:eastAsiaTheme="minorHAnsi" w:hAnsi="Corbel" w:cs="Arial"/>
          <w:sz w:val="22"/>
          <w:szCs w:val="22"/>
          <w:lang w:val="en-GB" w:eastAsia="en-US"/>
        </w:rPr>
        <w:t xml:space="preserve">trade facilitation, and accelerate </w:t>
      </w:r>
      <w:r w:rsidR="005E0DD3">
        <w:rPr>
          <w:rFonts w:ascii="Corbel" w:eastAsiaTheme="minorHAnsi" w:hAnsi="Corbel" w:cs="Arial"/>
          <w:sz w:val="22"/>
          <w:szCs w:val="22"/>
          <w:lang w:val="en-GB" w:eastAsia="en-US"/>
        </w:rPr>
        <w:t>digital transformation</w:t>
      </w:r>
      <w:r w:rsidR="00402A5A" w:rsidRPr="00570ACC">
        <w:rPr>
          <w:rFonts w:ascii="Corbel" w:eastAsiaTheme="minorHAnsi" w:hAnsi="Corbel" w:cs="Arial"/>
          <w:sz w:val="22"/>
          <w:szCs w:val="22"/>
          <w:lang w:val="en-GB" w:eastAsia="en-US"/>
        </w:rPr>
        <w:t xml:space="preserve"> in trade practices </w:t>
      </w:r>
      <w:r w:rsidR="003559A2">
        <w:rPr>
          <w:rFonts w:ascii="Corbel" w:eastAsiaTheme="minorHAnsi" w:hAnsi="Corbel" w:cs="Arial"/>
          <w:sz w:val="22"/>
          <w:szCs w:val="22"/>
          <w:lang w:val="en-GB" w:eastAsia="en-US"/>
        </w:rPr>
        <w:t>(</w:t>
      </w:r>
      <w:r w:rsidR="00566603">
        <w:rPr>
          <w:rFonts w:ascii="Corbel" w:eastAsiaTheme="minorHAnsi" w:hAnsi="Corbel" w:cs="Arial"/>
          <w:sz w:val="22"/>
          <w:szCs w:val="22"/>
          <w:lang w:val="en-GB" w:eastAsia="en-US"/>
        </w:rPr>
        <w:t>e.g.,</w:t>
      </w:r>
      <w:r w:rsidR="003559A2">
        <w:rPr>
          <w:rFonts w:ascii="Corbel" w:eastAsiaTheme="minorHAnsi" w:hAnsi="Corbel" w:cs="Arial"/>
          <w:sz w:val="22"/>
          <w:szCs w:val="22"/>
          <w:lang w:val="en-GB" w:eastAsia="en-US"/>
        </w:rPr>
        <w:t xml:space="preserve"> through</w:t>
      </w:r>
      <w:r w:rsidR="00402A5A" w:rsidRPr="00570ACC">
        <w:rPr>
          <w:rFonts w:ascii="Corbel" w:eastAsiaTheme="minorHAnsi" w:hAnsi="Corbel" w:cs="Arial"/>
          <w:sz w:val="22"/>
          <w:szCs w:val="22"/>
          <w:lang w:val="en-GB" w:eastAsia="en-US"/>
        </w:rPr>
        <w:t xml:space="preserve"> National Single Windows</w:t>
      </w:r>
      <w:r w:rsidR="003559A2">
        <w:rPr>
          <w:rFonts w:ascii="Corbel" w:eastAsiaTheme="minorHAnsi" w:hAnsi="Corbel" w:cs="Arial"/>
          <w:sz w:val="22"/>
          <w:szCs w:val="22"/>
          <w:lang w:val="en-GB" w:eastAsia="en-US"/>
        </w:rPr>
        <w:t>), aim</w:t>
      </w:r>
      <w:r w:rsidR="000324A3">
        <w:rPr>
          <w:rFonts w:ascii="Corbel" w:eastAsiaTheme="minorHAnsi" w:hAnsi="Corbel" w:cs="Arial"/>
          <w:sz w:val="22"/>
          <w:szCs w:val="22"/>
          <w:lang w:val="en-GB" w:eastAsia="en-US"/>
        </w:rPr>
        <w:t>ing</w:t>
      </w:r>
      <w:r w:rsidR="00402A5A" w:rsidRPr="00570ACC">
        <w:rPr>
          <w:rFonts w:ascii="Corbel" w:eastAsiaTheme="minorHAnsi" w:hAnsi="Corbel" w:cs="Arial"/>
          <w:sz w:val="22"/>
          <w:szCs w:val="22"/>
          <w:lang w:val="en-GB" w:eastAsia="en-US"/>
        </w:rPr>
        <w:t xml:space="preserve"> </w:t>
      </w:r>
      <w:r w:rsidR="003016A6">
        <w:rPr>
          <w:rFonts w:ascii="Corbel" w:eastAsiaTheme="minorHAnsi" w:hAnsi="Corbel" w:cs="Arial"/>
          <w:sz w:val="22"/>
          <w:szCs w:val="22"/>
          <w:lang w:val="en-GB" w:eastAsia="en-US"/>
        </w:rPr>
        <w:t>to foster compliance</w:t>
      </w:r>
      <w:r w:rsidR="00402A5A" w:rsidRPr="00570ACC">
        <w:rPr>
          <w:rFonts w:ascii="Corbel" w:eastAsiaTheme="minorHAnsi" w:hAnsi="Corbel" w:cs="Arial"/>
          <w:sz w:val="22"/>
          <w:szCs w:val="22"/>
          <w:lang w:val="en-GB" w:eastAsia="en-US"/>
        </w:rPr>
        <w:t xml:space="preserve"> with the WTO Trade Facilitation Agreement</w:t>
      </w:r>
      <w:r w:rsidR="003016A6">
        <w:rPr>
          <w:rFonts w:ascii="Corbel" w:eastAsiaTheme="minorHAnsi" w:hAnsi="Corbel" w:cs="Arial"/>
          <w:sz w:val="22"/>
          <w:szCs w:val="22"/>
          <w:lang w:val="en-GB" w:eastAsia="en-US"/>
        </w:rPr>
        <w:t>,</w:t>
      </w:r>
      <w:r w:rsidR="00402A5A" w:rsidRPr="00570ACC">
        <w:rPr>
          <w:rFonts w:ascii="Corbel" w:eastAsiaTheme="minorHAnsi" w:hAnsi="Corbel" w:cs="Arial"/>
          <w:sz w:val="22"/>
          <w:szCs w:val="22"/>
          <w:lang w:val="en-GB" w:eastAsia="en-US"/>
        </w:rPr>
        <w:t xml:space="preserve"> and to optimize time and costs of doing business</w:t>
      </w:r>
      <w:r w:rsidR="003016A6">
        <w:rPr>
          <w:rFonts w:ascii="Corbel" w:eastAsiaTheme="minorHAnsi" w:hAnsi="Corbel" w:cs="Arial"/>
          <w:sz w:val="22"/>
          <w:szCs w:val="22"/>
          <w:lang w:val="en-GB" w:eastAsia="en-US"/>
        </w:rPr>
        <w:t xml:space="preserve"> for competitiveness gains</w:t>
      </w:r>
      <w:r w:rsidR="00402A5A" w:rsidRPr="00570ACC">
        <w:rPr>
          <w:rFonts w:ascii="Corbel" w:eastAsiaTheme="minorHAnsi" w:hAnsi="Corbel" w:cs="Arial"/>
          <w:sz w:val="22"/>
          <w:szCs w:val="22"/>
          <w:lang w:val="en-GB" w:eastAsia="en-US"/>
        </w:rPr>
        <w:t xml:space="preserve">. </w:t>
      </w:r>
    </w:p>
    <w:p w14:paraId="24E5C7CC" w14:textId="77777777" w:rsidR="0003222E" w:rsidRPr="00570ACC" w:rsidRDefault="0003222E" w:rsidP="00E47EA3">
      <w:pPr>
        <w:spacing w:line="276" w:lineRule="auto"/>
        <w:jc w:val="both"/>
        <w:rPr>
          <w:rFonts w:ascii="Corbel" w:eastAsiaTheme="minorHAnsi" w:hAnsi="Corbel" w:cs="Arial"/>
          <w:sz w:val="22"/>
          <w:szCs w:val="22"/>
          <w:lang w:val="en-GB" w:eastAsia="en-US"/>
        </w:rPr>
      </w:pPr>
    </w:p>
    <w:p w14:paraId="579B9FAF" w14:textId="6B66AEF3" w:rsidR="00B32864" w:rsidRPr="00570ACC" w:rsidRDefault="00CF5F60" w:rsidP="00E47EA3">
      <w:pPr>
        <w:spacing w:line="276" w:lineRule="auto"/>
        <w:jc w:val="both"/>
        <w:rPr>
          <w:rFonts w:ascii="Corbel" w:eastAsiaTheme="minorHAnsi" w:hAnsi="Corbel" w:cs="Arial"/>
          <w:sz w:val="22"/>
          <w:szCs w:val="22"/>
          <w:lang w:val="en-GB" w:eastAsia="en-US"/>
        </w:rPr>
      </w:pPr>
      <w:r w:rsidRPr="00570ACC">
        <w:rPr>
          <w:rFonts w:ascii="Corbel" w:eastAsiaTheme="minorHAnsi" w:hAnsi="Corbel" w:cs="Arial"/>
          <w:sz w:val="22"/>
          <w:szCs w:val="22"/>
          <w:lang w:val="en-GB" w:eastAsia="en-US"/>
        </w:rPr>
        <w:t xml:space="preserve">South-South cooperation </w:t>
      </w:r>
      <w:r w:rsidR="00160708">
        <w:rPr>
          <w:rFonts w:ascii="Corbel" w:eastAsiaTheme="minorHAnsi" w:hAnsi="Corbel" w:cs="Arial"/>
          <w:sz w:val="22"/>
          <w:szCs w:val="22"/>
          <w:lang w:val="en-GB" w:eastAsia="en-US"/>
        </w:rPr>
        <w:t xml:space="preserve">modalities were </w:t>
      </w:r>
      <w:r w:rsidR="000E32CE">
        <w:rPr>
          <w:rFonts w:ascii="Corbel" w:eastAsiaTheme="minorHAnsi" w:hAnsi="Corbel" w:cs="Arial"/>
          <w:sz w:val="22"/>
          <w:szCs w:val="22"/>
          <w:lang w:val="en-GB" w:eastAsia="en-US"/>
        </w:rPr>
        <w:t xml:space="preserve">adopted when feasible to </w:t>
      </w:r>
      <w:r w:rsidR="00566603">
        <w:rPr>
          <w:rFonts w:ascii="Corbel" w:eastAsiaTheme="minorHAnsi" w:hAnsi="Corbel" w:cs="Arial"/>
          <w:sz w:val="22"/>
          <w:szCs w:val="22"/>
          <w:lang w:val="en-GB" w:eastAsia="en-US"/>
        </w:rPr>
        <w:t>enhance</w:t>
      </w:r>
      <w:r w:rsidR="000E32CE">
        <w:rPr>
          <w:rFonts w:ascii="Corbel" w:eastAsiaTheme="minorHAnsi" w:hAnsi="Corbel" w:cs="Arial"/>
          <w:sz w:val="22"/>
          <w:szCs w:val="22"/>
          <w:lang w:val="en-GB" w:eastAsia="en-US"/>
        </w:rPr>
        <w:t xml:space="preserve"> transfers of knowledge among developing countries on how to benefit from </w:t>
      </w:r>
      <w:r w:rsidR="00BC240D">
        <w:rPr>
          <w:rFonts w:ascii="Corbel" w:eastAsiaTheme="minorHAnsi" w:hAnsi="Corbel" w:cs="Arial"/>
          <w:sz w:val="22"/>
          <w:szCs w:val="22"/>
          <w:lang w:val="en-GB" w:eastAsia="en-US"/>
        </w:rPr>
        <w:t>access to international markets</w:t>
      </w:r>
      <w:r w:rsidR="002A0D5D">
        <w:rPr>
          <w:rFonts w:ascii="Corbel" w:eastAsiaTheme="minorHAnsi" w:hAnsi="Corbel" w:cs="Arial"/>
          <w:sz w:val="22"/>
          <w:szCs w:val="22"/>
          <w:lang w:val="en-GB" w:eastAsia="en-US"/>
        </w:rPr>
        <w:t>.</w:t>
      </w:r>
      <w:r w:rsidR="00BC240D">
        <w:rPr>
          <w:rFonts w:ascii="Corbel" w:eastAsiaTheme="minorHAnsi" w:hAnsi="Corbel" w:cs="Arial"/>
          <w:sz w:val="22"/>
          <w:szCs w:val="22"/>
          <w:lang w:val="en-GB" w:eastAsia="en-US"/>
        </w:rPr>
        <w:t xml:space="preserve"> </w:t>
      </w:r>
      <w:r w:rsidRPr="00570ACC">
        <w:rPr>
          <w:rFonts w:ascii="Corbel" w:eastAsiaTheme="minorHAnsi" w:hAnsi="Corbel" w:cs="Arial"/>
          <w:sz w:val="22"/>
          <w:szCs w:val="22"/>
          <w:lang w:val="en-GB" w:eastAsia="en-US"/>
        </w:rPr>
        <w:t xml:space="preserve">More than one thousand public officials and representatives of Arab countries benefitted </w:t>
      </w:r>
      <w:r w:rsidR="006078A2">
        <w:rPr>
          <w:rFonts w:ascii="Corbel" w:eastAsiaTheme="minorHAnsi" w:hAnsi="Corbel" w:cs="Arial"/>
          <w:sz w:val="22"/>
          <w:szCs w:val="22"/>
          <w:lang w:val="en-GB" w:eastAsia="en-US"/>
        </w:rPr>
        <w:t xml:space="preserve">from workshops (and </w:t>
      </w:r>
      <w:r w:rsidR="00566603">
        <w:rPr>
          <w:rFonts w:ascii="Corbel" w:eastAsiaTheme="minorHAnsi" w:hAnsi="Corbel" w:cs="Arial"/>
          <w:sz w:val="22"/>
          <w:szCs w:val="22"/>
          <w:lang w:val="en-GB" w:eastAsia="en-US"/>
        </w:rPr>
        <w:t>webinars</w:t>
      </w:r>
      <w:r w:rsidR="006078A2">
        <w:rPr>
          <w:rFonts w:ascii="Corbel" w:eastAsiaTheme="minorHAnsi" w:hAnsi="Corbel" w:cs="Arial"/>
          <w:sz w:val="22"/>
          <w:szCs w:val="22"/>
          <w:lang w:val="en-GB" w:eastAsia="en-US"/>
        </w:rPr>
        <w:t xml:space="preserve"> during COVID-19 </w:t>
      </w:r>
      <w:r w:rsidR="00566603">
        <w:rPr>
          <w:rFonts w:ascii="Corbel" w:eastAsiaTheme="minorHAnsi" w:hAnsi="Corbel" w:cs="Arial"/>
          <w:sz w:val="22"/>
          <w:szCs w:val="22"/>
          <w:lang w:val="en-GB" w:eastAsia="en-US"/>
        </w:rPr>
        <w:t>restrictions</w:t>
      </w:r>
      <w:r w:rsidR="006078A2">
        <w:rPr>
          <w:rFonts w:ascii="Corbel" w:eastAsiaTheme="minorHAnsi" w:hAnsi="Corbel" w:cs="Arial"/>
          <w:sz w:val="22"/>
          <w:szCs w:val="22"/>
          <w:lang w:val="en-GB" w:eastAsia="en-US"/>
        </w:rPr>
        <w:t xml:space="preserve">) </w:t>
      </w:r>
      <w:r w:rsidR="000D32D0">
        <w:rPr>
          <w:rFonts w:ascii="Corbel" w:eastAsiaTheme="minorHAnsi" w:hAnsi="Corbel" w:cs="Arial"/>
          <w:sz w:val="22"/>
          <w:szCs w:val="22"/>
          <w:lang w:val="en-GB" w:eastAsia="en-US"/>
        </w:rPr>
        <w:t xml:space="preserve">where </w:t>
      </w:r>
      <w:r w:rsidR="000324A3">
        <w:rPr>
          <w:rFonts w:ascii="Corbel" w:eastAsiaTheme="minorHAnsi" w:hAnsi="Corbel" w:cs="Arial"/>
          <w:sz w:val="22"/>
          <w:szCs w:val="22"/>
          <w:lang w:val="en-GB" w:eastAsia="en-US"/>
        </w:rPr>
        <w:t>policymakers</w:t>
      </w:r>
      <w:r w:rsidR="000D32D0">
        <w:rPr>
          <w:rFonts w:ascii="Corbel" w:eastAsiaTheme="minorHAnsi" w:hAnsi="Corbel" w:cs="Arial"/>
          <w:sz w:val="22"/>
          <w:szCs w:val="22"/>
          <w:lang w:val="en-GB" w:eastAsia="en-US"/>
        </w:rPr>
        <w:t xml:space="preserve"> and aca</w:t>
      </w:r>
      <w:r w:rsidR="00D23F96">
        <w:rPr>
          <w:rFonts w:ascii="Corbel" w:eastAsiaTheme="minorHAnsi" w:hAnsi="Corbel" w:cs="Arial"/>
          <w:sz w:val="22"/>
          <w:szCs w:val="22"/>
          <w:lang w:val="en-GB" w:eastAsia="en-US"/>
        </w:rPr>
        <w:t>de</w:t>
      </w:r>
      <w:r w:rsidR="000D32D0">
        <w:rPr>
          <w:rFonts w:ascii="Corbel" w:eastAsiaTheme="minorHAnsi" w:hAnsi="Corbel" w:cs="Arial"/>
          <w:sz w:val="22"/>
          <w:szCs w:val="22"/>
          <w:lang w:val="en-GB" w:eastAsia="en-US"/>
        </w:rPr>
        <w:t xml:space="preserve">mic and research institutes </w:t>
      </w:r>
      <w:r w:rsidR="00A05D5B">
        <w:rPr>
          <w:rFonts w:ascii="Corbel" w:eastAsiaTheme="minorHAnsi" w:hAnsi="Corbel" w:cs="Arial"/>
          <w:sz w:val="22"/>
          <w:szCs w:val="22"/>
          <w:lang w:val="en-GB" w:eastAsia="en-US"/>
        </w:rPr>
        <w:t>exchange</w:t>
      </w:r>
      <w:r w:rsidR="00D47CCC">
        <w:rPr>
          <w:rFonts w:ascii="Corbel" w:eastAsiaTheme="minorHAnsi" w:hAnsi="Corbel" w:cs="Arial"/>
          <w:sz w:val="22"/>
          <w:szCs w:val="22"/>
          <w:lang w:val="en-GB" w:eastAsia="en-US"/>
        </w:rPr>
        <w:t>d</w:t>
      </w:r>
      <w:r w:rsidR="00A05D5B">
        <w:rPr>
          <w:rFonts w:ascii="Corbel" w:eastAsiaTheme="minorHAnsi" w:hAnsi="Corbel" w:cs="Arial"/>
          <w:sz w:val="22"/>
          <w:szCs w:val="22"/>
          <w:lang w:val="en-GB" w:eastAsia="en-US"/>
        </w:rPr>
        <w:t xml:space="preserve"> experiences in trade facilitation</w:t>
      </w:r>
      <w:r w:rsidR="0050712A">
        <w:rPr>
          <w:rFonts w:ascii="Corbel" w:eastAsiaTheme="minorHAnsi" w:hAnsi="Corbel" w:cs="Arial"/>
          <w:sz w:val="22"/>
          <w:szCs w:val="22"/>
          <w:lang w:val="en-GB" w:eastAsia="en-US"/>
        </w:rPr>
        <w:t xml:space="preserve">, </w:t>
      </w:r>
      <w:r w:rsidR="0050712A" w:rsidRPr="00570ACC">
        <w:rPr>
          <w:rFonts w:ascii="Corbel" w:eastAsiaTheme="minorHAnsi" w:hAnsi="Corbel" w:cs="Arial"/>
          <w:sz w:val="22"/>
          <w:szCs w:val="22"/>
          <w:lang w:val="en-GB" w:eastAsia="en-US"/>
        </w:rPr>
        <w:t>trade multilateralism, export promotion to support economic integration through evidence-based policy making</w:t>
      </w:r>
      <w:r w:rsidR="00A05D5B">
        <w:rPr>
          <w:rFonts w:ascii="Corbel" w:eastAsiaTheme="minorHAnsi" w:hAnsi="Corbel" w:cs="Arial"/>
          <w:sz w:val="22"/>
          <w:szCs w:val="22"/>
          <w:lang w:val="en-GB" w:eastAsia="en-US"/>
        </w:rPr>
        <w:t xml:space="preserve">. </w:t>
      </w:r>
      <w:r w:rsidR="00FF5EE7">
        <w:rPr>
          <w:rFonts w:ascii="Corbel" w:eastAsiaTheme="minorHAnsi" w:hAnsi="Corbel" w:cs="Arial"/>
          <w:sz w:val="22"/>
          <w:szCs w:val="22"/>
          <w:lang w:val="en-GB" w:eastAsia="en-US"/>
        </w:rPr>
        <w:t xml:space="preserve">For example, </w:t>
      </w:r>
      <w:r w:rsidR="00A05D5B">
        <w:rPr>
          <w:rFonts w:ascii="Corbel" w:eastAsiaTheme="minorHAnsi" w:hAnsi="Corbel" w:cs="Arial"/>
          <w:sz w:val="22"/>
          <w:szCs w:val="22"/>
          <w:lang w:val="en-GB" w:eastAsia="en-US"/>
        </w:rPr>
        <w:t>F</w:t>
      </w:r>
      <w:r w:rsidRPr="00570ACC">
        <w:rPr>
          <w:rFonts w:ascii="Corbel" w:eastAsiaTheme="minorHAnsi" w:hAnsi="Corbel" w:cs="Arial"/>
          <w:sz w:val="22"/>
          <w:szCs w:val="22"/>
          <w:lang w:val="en-GB" w:eastAsia="en-US"/>
        </w:rPr>
        <w:t xml:space="preserve">ield studies were organized for Jordanian agencies to </w:t>
      </w:r>
      <w:r w:rsidR="002B6EDC">
        <w:rPr>
          <w:rFonts w:ascii="Corbel" w:eastAsiaTheme="minorHAnsi" w:hAnsi="Corbel" w:cs="Arial"/>
          <w:sz w:val="22"/>
          <w:szCs w:val="22"/>
          <w:lang w:val="en-GB" w:eastAsia="en-US"/>
        </w:rPr>
        <w:t>learn from</w:t>
      </w:r>
      <w:r w:rsidRPr="00570ACC">
        <w:rPr>
          <w:rFonts w:ascii="Corbel" w:eastAsiaTheme="minorHAnsi" w:hAnsi="Corbel" w:cs="Arial"/>
          <w:sz w:val="22"/>
          <w:szCs w:val="22"/>
          <w:lang w:val="en-GB" w:eastAsia="en-US"/>
        </w:rPr>
        <w:t xml:space="preserve"> </w:t>
      </w:r>
      <w:r w:rsidR="002B6EDC">
        <w:rPr>
          <w:rFonts w:ascii="Corbel" w:eastAsiaTheme="minorHAnsi" w:hAnsi="Corbel" w:cs="Arial"/>
          <w:sz w:val="22"/>
          <w:szCs w:val="22"/>
          <w:lang w:val="en-GB" w:eastAsia="en-US"/>
        </w:rPr>
        <w:t>the</w:t>
      </w:r>
      <w:r w:rsidRPr="00570ACC">
        <w:rPr>
          <w:rFonts w:ascii="Corbel" w:eastAsiaTheme="minorHAnsi" w:hAnsi="Corbel" w:cs="Arial"/>
          <w:sz w:val="22"/>
          <w:szCs w:val="22"/>
          <w:lang w:val="en-GB" w:eastAsia="en-US"/>
        </w:rPr>
        <w:t xml:space="preserve"> Indonesia</w:t>
      </w:r>
      <w:r w:rsidR="002B6EDC" w:rsidRPr="002B6EDC">
        <w:rPr>
          <w:rFonts w:ascii="Corbel" w:eastAsiaTheme="minorHAnsi" w:hAnsi="Corbel" w:cs="Arial"/>
          <w:sz w:val="22"/>
          <w:szCs w:val="22"/>
          <w:lang w:val="en-GB" w:eastAsia="en-US"/>
        </w:rPr>
        <w:t xml:space="preserve"> </w:t>
      </w:r>
      <w:r w:rsidR="002B6EDC" w:rsidRPr="00570ACC">
        <w:rPr>
          <w:rFonts w:ascii="Corbel" w:eastAsiaTheme="minorHAnsi" w:hAnsi="Corbel" w:cs="Arial"/>
          <w:sz w:val="22"/>
          <w:szCs w:val="22"/>
          <w:lang w:val="en-GB" w:eastAsia="en-US"/>
        </w:rPr>
        <w:t>experience</w:t>
      </w:r>
      <w:r w:rsidR="002B6EDC">
        <w:rPr>
          <w:rFonts w:ascii="Corbel" w:eastAsiaTheme="minorHAnsi" w:hAnsi="Corbel" w:cs="Arial"/>
          <w:sz w:val="22"/>
          <w:szCs w:val="22"/>
          <w:lang w:val="en-GB" w:eastAsia="en-US"/>
        </w:rPr>
        <w:t xml:space="preserve">, and for Palestinian </w:t>
      </w:r>
      <w:r w:rsidR="00FF5EE7">
        <w:rPr>
          <w:rFonts w:ascii="Corbel" w:eastAsiaTheme="minorHAnsi" w:hAnsi="Corbel" w:cs="Arial"/>
          <w:sz w:val="22"/>
          <w:szCs w:val="22"/>
          <w:lang w:val="en-GB" w:eastAsia="en-US"/>
        </w:rPr>
        <w:t>Customs representatives to learn from the application of the National Single Window in Jordan</w:t>
      </w:r>
      <w:r w:rsidR="00A35974" w:rsidRPr="00570ACC">
        <w:rPr>
          <w:rFonts w:ascii="Corbel" w:eastAsiaTheme="minorHAnsi" w:hAnsi="Corbel" w:cs="Arial"/>
          <w:sz w:val="22"/>
          <w:szCs w:val="22"/>
          <w:lang w:val="en-GB" w:eastAsia="en-US"/>
        </w:rPr>
        <w:t>.</w:t>
      </w:r>
    </w:p>
    <w:p w14:paraId="39D156B7" w14:textId="77777777" w:rsidR="00251A1B" w:rsidRDefault="00251A1B" w:rsidP="00A35974">
      <w:pPr>
        <w:spacing w:line="276" w:lineRule="auto"/>
        <w:jc w:val="both"/>
        <w:rPr>
          <w:rFonts w:ascii="Corbel" w:eastAsiaTheme="minorHAnsi" w:hAnsi="Corbel" w:cs="Arial"/>
          <w:sz w:val="22"/>
          <w:szCs w:val="22"/>
          <w:lang w:val="en-GB" w:eastAsia="en-US"/>
        </w:rPr>
      </w:pPr>
    </w:p>
    <w:p w14:paraId="72F955F1" w14:textId="7E01E6FE" w:rsidR="00A35974" w:rsidRPr="00570ACC" w:rsidRDefault="00A35974" w:rsidP="4F6DD0A6">
      <w:pPr>
        <w:spacing w:line="276" w:lineRule="auto"/>
        <w:jc w:val="both"/>
        <w:rPr>
          <w:rFonts w:ascii="Corbel" w:eastAsiaTheme="minorEastAsia" w:hAnsi="Corbel" w:cs="Arial"/>
          <w:sz w:val="22"/>
          <w:szCs w:val="22"/>
          <w:lang w:val="en-GB" w:eastAsia="en-US"/>
        </w:rPr>
      </w:pPr>
      <w:r w:rsidRPr="4F6DD0A6">
        <w:rPr>
          <w:rFonts w:ascii="Corbel" w:eastAsiaTheme="minorEastAsia" w:hAnsi="Corbel" w:cs="Arial"/>
          <w:sz w:val="22"/>
          <w:szCs w:val="22"/>
          <w:lang w:val="en-GB" w:eastAsia="en-US"/>
        </w:rPr>
        <w:t xml:space="preserve">In response to </w:t>
      </w:r>
      <w:r w:rsidR="00251A1B" w:rsidRPr="4F6DD0A6">
        <w:rPr>
          <w:rFonts w:ascii="Corbel" w:eastAsiaTheme="minorEastAsia" w:hAnsi="Corbel" w:cs="Arial"/>
          <w:sz w:val="22"/>
          <w:szCs w:val="22"/>
          <w:lang w:val="en-GB" w:eastAsia="en-US"/>
        </w:rPr>
        <w:t xml:space="preserve">the </w:t>
      </w:r>
      <w:r w:rsidRPr="4F6DD0A6">
        <w:rPr>
          <w:rFonts w:ascii="Corbel" w:eastAsiaTheme="minorEastAsia" w:hAnsi="Corbel" w:cs="Arial"/>
          <w:sz w:val="22"/>
          <w:szCs w:val="22"/>
          <w:lang w:val="en-GB" w:eastAsia="en-US"/>
        </w:rPr>
        <w:t xml:space="preserve">challenges </w:t>
      </w:r>
      <w:r w:rsidR="00251A1B" w:rsidRPr="4F6DD0A6">
        <w:rPr>
          <w:rFonts w:ascii="Corbel" w:eastAsiaTheme="minorEastAsia" w:hAnsi="Corbel" w:cs="Arial"/>
          <w:sz w:val="22"/>
          <w:szCs w:val="22"/>
          <w:lang w:val="en-GB" w:eastAsia="en-US"/>
        </w:rPr>
        <w:t xml:space="preserve">generated </w:t>
      </w:r>
      <w:r w:rsidRPr="4F6DD0A6">
        <w:rPr>
          <w:rFonts w:ascii="Corbel" w:eastAsiaTheme="minorEastAsia" w:hAnsi="Corbel" w:cs="Arial"/>
          <w:sz w:val="22"/>
          <w:szCs w:val="22"/>
          <w:lang w:val="en-GB" w:eastAsia="en-US"/>
        </w:rPr>
        <w:t>by Covid-19</w:t>
      </w:r>
      <w:r w:rsidR="00251A1B" w:rsidRPr="4F6DD0A6">
        <w:rPr>
          <w:rFonts w:ascii="Corbel" w:eastAsiaTheme="minorEastAsia" w:hAnsi="Corbel" w:cs="Arial"/>
          <w:sz w:val="22"/>
          <w:szCs w:val="22"/>
          <w:lang w:val="en-GB" w:eastAsia="en-US"/>
        </w:rPr>
        <w:t xml:space="preserve"> restrictions</w:t>
      </w:r>
      <w:r w:rsidRPr="4F6DD0A6">
        <w:rPr>
          <w:rFonts w:ascii="Corbel" w:eastAsiaTheme="minorEastAsia" w:hAnsi="Corbel" w:cs="Arial"/>
          <w:sz w:val="22"/>
          <w:szCs w:val="22"/>
          <w:lang w:val="en-GB" w:eastAsia="en-US"/>
        </w:rPr>
        <w:t>,</w:t>
      </w:r>
      <w:r w:rsidR="00251A1B" w:rsidRPr="4F6DD0A6">
        <w:rPr>
          <w:rFonts w:ascii="Corbel" w:eastAsiaTheme="minorEastAsia" w:hAnsi="Corbel" w:cs="Arial"/>
          <w:sz w:val="22"/>
          <w:szCs w:val="22"/>
          <w:lang w:val="en-GB" w:eastAsia="en-US"/>
        </w:rPr>
        <w:t xml:space="preserve"> </w:t>
      </w:r>
      <w:r w:rsidRPr="4F6DD0A6">
        <w:rPr>
          <w:rFonts w:ascii="Corbel" w:eastAsiaTheme="minorEastAsia" w:hAnsi="Corbel" w:cs="Arial"/>
          <w:sz w:val="22"/>
          <w:szCs w:val="22"/>
          <w:lang w:val="en-GB" w:eastAsia="en-US"/>
        </w:rPr>
        <w:t>UNDP repurpos</w:t>
      </w:r>
      <w:r w:rsidR="00674B6E" w:rsidRPr="4F6DD0A6">
        <w:rPr>
          <w:rFonts w:ascii="Corbel" w:eastAsiaTheme="minorEastAsia" w:hAnsi="Corbel" w:cs="Arial"/>
          <w:sz w:val="22"/>
          <w:szCs w:val="22"/>
          <w:lang w:val="en-GB" w:eastAsia="en-US"/>
        </w:rPr>
        <w:t>ed</w:t>
      </w:r>
      <w:r w:rsidRPr="4F6DD0A6">
        <w:rPr>
          <w:rFonts w:ascii="Corbel" w:eastAsiaTheme="minorEastAsia" w:hAnsi="Corbel" w:cs="Arial"/>
          <w:sz w:val="22"/>
          <w:szCs w:val="22"/>
          <w:lang w:val="en-GB" w:eastAsia="en-US"/>
        </w:rPr>
        <w:t xml:space="preserve"> activities and adopted </w:t>
      </w:r>
      <w:r w:rsidR="00674B6E" w:rsidRPr="4F6DD0A6">
        <w:rPr>
          <w:rFonts w:ascii="Corbel" w:eastAsiaTheme="minorEastAsia" w:hAnsi="Corbel" w:cs="Arial"/>
          <w:sz w:val="22"/>
          <w:szCs w:val="22"/>
          <w:lang w:val="en-GB" w:eastAsia="en-US"/>
        </w:rPr>
        <w:t>virtual working</w:t>
      </w:r>
      <w:r w:rsidRPr="4F6DD0A6">
        <w:rPr>
          <w:rFonts w:ascii="Corbel" w:eastAsiaTheme="minorEastAsia" w:hAnsi="Corbel" w:cs="Arial"/>
          <w:sz w:val="22"/>
          <w:szCs w:val="22"/>
          <w:lang w:val="en-GB" w:eastAsia="en-US"/>
        </w:rPr>
        <w:t xml:space="preserve"> modalities to secure </w:t>
      </w:r>
      <w:r w:rsidR="00674B6E" w:rsidRPr="4F6DD0A6">
        <w:rPr>
          <w:rFonts w:ascii="Corbel" w:eastAsiaTheme="minorEastAsia" w:hAnsi="Corbel" w:cs="Arial"/>
          <w:sz w:val="22"/>
          <w:szCs w:val="22"/>
          <w:lang w:val="en-GB" w:eastAsia="en-US"/>
        </w:rPr>
        <w:t xml:space="preserve">the </w:t>
      </w:r>
      <w:r w:rsidRPr="4F6DD0A6">
        <w:rPr>
          <w:rFonts w:ascii="Corbel" w:eastAsiaTheme="minorEastAsia" w:hAnsi="Corbel" w:cs="Arial"/>
          <w:sz w:val="22"/>
          <w:szCs w:val="22"/>
          <w:lang w:val="en-GB" w:eastAsia="en-US"/>
        </w:rPr>
        <w:t>achievement of the intended outcomes</w:t>
      </w:r>
      <w:r w:rsidR="00801577" w:rsidRPr="4F6DD0A6">
        <w:rPr>
          <w:rFonts w:ascii="Corbel" w:eastAsiaTheme="minorEastAsia" w:hAnsi="Corbel" w:cs="Arial"/>
          <w:sz w:val="22"/>
          <w:szCs w:val="22"/>
          <w:lang w:val="en-GB" w:eastAsia="en-US"/>
        </w:rPr>
        <w:t xml:space="preserve"> in the new circumstances</w:t>
      </w:r>
      <w:r w:rsidRPr="4F6DD0A6">
        <w:rPr>
          <w:rFonts w:ascii="Corbel" w:eastAsiaTheme="minorEastAsia" w:hAnsi="Corbel" w:cs="Arial"/>
          <w:sz w:val="22"/>
          <w:szCs w:val="22"/>
          <w:lang w:val="en-GB" w:eastAsia="en-US"/>
        </w:rPr>
        <w:t>.</w:t>
      </w:r>
      <w:r w:rsidR="009F3938" w:rsidRPr="4F6DD0A6">
        <w:rPr>
          <w:rFonts w:ascii="Corbel" w:eastAsiaTheme="minorEastAsia" w:hAnsi="Corbel" w:cs="Arial"/>
          <w:sz w:val="22"/>
          <w:szCs w:val="22"/>
          <w:lang w:val="en-GB" w:eastAsia="en-US"/>
        </w:rPr>
        <w:t xml:space="preserve"> </w:t>
      </w:r>
      <w:r w:rsidR="00801577" w:rsidRPr="4F6DD0A6">
        <w:rPr>
          <w:rFonts w:ascii="Corbel" w:eastAsiaTheme="minorEastAsia" w:hAnsi="Corbel" w:cs="Arial"/>
          <w:sz w:val="22"/>
          <w:szCs w:val="22"/>
          <w:lang w:val="en-GB" w:eastAsia="en-US"/>
        </w:rPr>
        <w:t>While adaptation</w:t>
      </w:r>
      <w:r w:rsidR="001901F6" w:rsidRPr="4F6DD0A6">
        <w:rPr>
          <w:rFonts w:ascii="Corbel" w:eastAsiaTheme="minorEastAsia" w:hAnsi="Corbel" w:cs="Arial"/>
          <w:sz w:val="22"/>
          <w:szCs w:val="22"/>
          <w:lang w:val="en-GB" w:eastAsia="en-US"/>
        </w:rPr>
        <w:t xml:space="preserve"> contributed to the effective delivery, it</w:t>
      </w:r>
      <w:r w:rsidR="00801577" w:rsidRPr="4F6DD0A6">
        <w:rPr>
          <w:rFonts w:ascii="Corbel" w:eastAsiaTheme="minorEastAsia" w:hAnsi="Corbel" w:cs="Arial"/>
          <w:sz w:val="22"/>
          <w:szCs w:val="22"/>
          <w:lang w:val="en-GB" w:eastAsia="en-US"/>
        </w:rPr>
        <w:t xml:space="preserve"> caused delays and </w:t>
      </w:r>
      <w:r w:rsidR="009750C0" w:rsidRPr="4F6DD0A6">
        <w:rPr>
          <w:rFonts w:ascii="Corbel" w:eastAsiaTheme="minorEastAsia" w:hAnsi="Corbel" w:cs="Arial"/>
          <w:sz w:val="22"/>
          <w:szCs w:val="22"/>
          <w:lang w:val="en-GB" w:eastAsia="en-US"/>
        </w:rPr>
        <w:t>it could not be considered a perfect substitute of in-person activities</w:t>
      </w:r>
      <w:r w:rsidR="001901F6" w:rsidRPr="4F6DD0A6">
        <w:rPr>
          <w:rFonts w:ascii="Corbel" w:eastAsiaTheme="minorEastAsia" w:hAnsi="Corbel" w:cs="Arial"/>
          <w:sz w:val="22"/>
          <w:szCs w:val="22"/>
          <w:lang w:val="en-GB" w:eastAsia="en-US"/>
        </w:rPr>
        <w:t xml:space="preserve">, particularly when </w:t>
      </w:r>
      <w:r w:rsidR="00790E56" w:rsidRPr="4F6DD0A6">
        <w:rPr>
          <w:rFonts w:ascii="Corbel" w:eastAsiaTheme="minorEastAsia" w:hAnsi="Corbel" w:cs="Arial"/>
          <w:sz w:val="22"/>
          <w:szCs w:val="22"/>
          <w:lang w:val="en-GB" w:eastAsia="en-US"/>
        </w:rPr>
        <w:t>this entailed</w:t>
      </w:r>
      <w:r w:rsidR="001901F6" w:rsidRPr="4F6DD0A6">
        <w:rPr>
          <w:rFonts w:ascii="Corbel" w:eastAsiaTheme="minorEastAsia" w:hAnsi="Corbel" w:cs="Arial"/>
          <w:sz w:val="22"/>
          <w:szCs w:val="22"/>
          <w:lang w:val="en-GB" w:eastAsia="en-US"/>
        </w:rPr>
        <w:t xml:space="preserve"> problem solving</w:t>
      </w:r>
      <w:r w:rsidR="00790E56" w:rsidRPr="4F6DD0A6">
        <w:rPr>
          <w:rFonts w:ascii="Corbel" w:eastAsiaTheme="minorEastAsia" w:hAnsi="Corbel" w:cs="Arial"/>
          <w:sz w:val="22"/>
          <w:szCs w:val="22"/>
          <w:lang w:val="en-GB" w:eastAsia="en-US"/>
        </w:rPr>
        <w:t>,</w:t>
      </w:r>
      <w:r w:rsidR="001901F6" w:rsidRPr="4F6DD0A6">
        <w:rPr>
          <w:rFonts w:ascii="Corbel" w:eastAsiaTheme="minorEastAsia" w:hAnsi="Corbel" w:cs="Arial"/>
          <w:sz w:val="22"/>
          <w:szCs w:val="22"/>
          <w:lang w:val="en-GB" w:eastAsia="en-US"/>
        </w:rPr>
        <w:t xml:space="preserve"> sharing experiences and lessons learned</w:t>
      </w:r>
      <w:r w:rsidR="00B559C4" w:rsidRPr="4F6DD0A6">
        <w:rPr>
          <w:rFonts w:ascii="Corbel" w:eastAsiaTheme="minorEastAsia" w:hAnsi="Corbel" w:cs="Arial"/>
          <w:sz w:val="22"/>
          <w:szCs w:val="22"/>
          <w:lang w:val="en-GB" w:eastAsia="en-US"/>
        </w:rPr>
        <w:t>, and advancing policy implementation at the national level</w:t>
      </w:r>
      <w:r w:rsidR="001901F6" w:rsidRPr="4F6DD0A6">
        <w:rPr>
          <w:rFonts w:ascii="Corbel" w:eastAsiaTheme="minorEastAsia" w:hAnsi="Corbel" w:cs="Arial"/>
          <w:sz w:val="22"/>
          <w:szCs w:val="22"/>
          <w:lang w:val="en-GB" w:eastAsia="en-US"/>
        </w:rPr>
        <w:t>.</w:t>
      </w:r>
    </w:p>
    <w:p w14:paraId="3D6551A1" w14:textId="77777777" w:rsidR="00A35974" w:rsidRPr="00570ACC" w:rsidRDefault="00A35974" w:rsidP="00E47EA3">
      <w:pPr>
        <w:spacing w:line="276" w:lineRule="auto"/>
        <w:jc w:val="both"/>
        <w:rPr>
          <w:rFonts w:ascii="Corbel" w:eastAsiaTheme="minorHAnsi" w:hAnsi="Corbel" w:cs="Arial"/>
          <w:sz w:val="22"/>
          <w:szCs w:val="22"/>
          <w:lang w:val="en-GB" w:eastAsia="en-US"/>
        </w:rPr>
      </w:pPr>
    </w:p>
    <w:p w14:paraId="20B7F2F0" w14:textId="6B6EE4D0" w:rsidR="000B6C7A" w:rsidRPr="00570ACC" w:rsidRDefault="00F55805" w:rsidP="4F6DD0A6">
      <w:pPr>
        <w:spacing w:line="276" w:lineRule="auto"/>
        <w:jc w:val="both"/>
        <w:rPr>
          <w:rFonts w:ascii="Corbel" w:eastAsiaTheme="minorEastAsia" w:hAnsi="Corbel" w:cs="Arial"/>
          <w:sz w:val="22"/>
          <w:szCs w:val="22"/>
          <w:lang w:val="en-GB" w:eastAsia="en-US"/>
        </w:rPr>
      </w:pPr>
      <w:r w:rsidRPr="4F6DD0A6">
        <w:rPr>
          <w:rFonts w:ascii="Corbel" w:eastAsiaTheme="minorEastAsia" w:hAnsi="Corbel" w:cs="Arial"/>
          <w:sz w:val="22"/>
          <w:szCs w:val="22"/>
          <w:lang w:val="en-GB" w:eastAsia="en-US"/>
        </w:rPr>
        <w:t>P</w:t>
      </w:r>
      <w:r w:rsidR="000B6C7A" w:rsidRPr="4F6DD0A6">
        <w:rPr>
          <w:rFonts w:ascii="Corbel" w:eastAsiaTheme="minorEastAsia" w:hAnsi="Corbel" w:cs="Arial"/>
          <w:sz w:val="22"/>
          <w:szCs w:val="22"/>
          <w:lang w:val="en-GB" w:eastAsia="en-US"/>
        </w:rPr>
        <w:t>rogress</w:t>
      </w:r>
      <w:r w:rsidR="00AE3AE0" w:rsidRPr="4F6DD0A6">
        <w:rPr>
          <w:rFonts w:ascii="Corbel" w:eastAsiaTheme="minorEastAsia" w:hAnsi="Corbel" w:cs="Arial"/>
          <w:sz w:val="22"/>
          <w:szCs w:val="22"/>
          <w:lang w:val="en-GB" w:eastAsia="en-US"/>
        </w:rPr>
        <w:t xml:space="preserve"> achieved</w:t>
      </w:r>
      <w:r w:rsidR="000B6C7A" w:rsidRPr="4F6DD0A6">
        <w:rPr>
          <w:rFonts w:ascii="Corbel" w:eastAsiaTheme="minorEastAsia" w:hAnsi="Corbel" w:cs="Arial"/>
          <w:sz w:val="22"/>
          <w:szCs w:val="22"/>
          <w:lang w:val="en-GB" w:eastAsia="en-US"/>
        </w:rPr>
        <w:t xml:space="preserve"> in 20</w:t>
      </w:r>
      <w:r w:rsidR="00AE3AE0" w:rsidRPr="4F6DD0A6">
        <w:rPr>
          <w:rFonts w:ascii="Corbel" w:eastAsiaTheme="minorEastAsia" w:hAnsi="Corbel" w:cs="Arial"/>
          <w:sz w:val="22"/>
          <w:szCs w:val="22"/>
          <w:lang w:val="en-GB" w:eastAsia="en-US"/>
        </w:rPr>
        <w:t>17-2021</w:t>
      </w:r>
      <w:r w:rsidR="000B6C7A" w:rsidRPr="4F6DD0A6">
        <w:rPr>
          <w:rFonts w:ascii="Corbel" w:eastAsiaTheme="minorEastAsia" w:hAnsi="Corbel" w:cs="Arial"/>
          <w:sz w:val="22"/>
          <w:szCs w:val="22"/>
          <w:lang w:val="en-GB" w:eastAsia="en-US"/>
        </w:rPr>
        <w:t xml:space="preserve"> </w:t>
      </w:r>
      <w:r w:rsidR="00C977E2" w:rsidRPr="4F6DD0A6">
        <w:rPr>
          <w:rFonts w:ascii="Corbel" w:eastAsiaTheme="minorEastAsia" w:hAnsi="Corbel" w:cs="Arial"/>
          <w:sz w:val="22"/>
          <w:szCs w:val="22"/>
          <w:lang w:val="en-GB" w:eastAsia="en-US"/>
        </w:rPr>
        <w:t xml:space="preserve">against the six </w:t>
      </w:r>
      <w:r w:rsidR="00E93FD7" w:rsidRPr="4F6DD0A6">
        <w:rPr>
          <w:rFonts w:ascii="Corbel" w:eastAsiaTheme="minorEastAsia" w:hAnsi="Corbel" w:cs="Arial"/>
          <w:sz w:val="22"/>
          <w:szCs w:val="22"/>
          <w:lang w:val="en-GB" w:eastAsia="en-US"/>
        </w:rPr>
        <w:t xml:space="preserve">outputs envisaged in the project document </w:t>
      </w:r>
      <w:r w:rsidR="00651F3A" w:rsidRPr="4F6DD0A6">
        <w:rPr>
          <w:rFonts w:ascii="Corbel" w:eastAsiaTheme="minorEastAsia" w:hAnsi="Corbel" w:cs="Arial"/>
          <w:sz w:val="22"/>
          <w:szCs w:val="22"/>
          <w:lang w:val="en-GB" w:eastAsia="en-US"/>
        </w:rPr>
        <w:t>is detailed in the section below.</w:t>
      </w:r>
    </w:p>
    <w:p w14:paraId="607691D0" w14:textId="77777777" w:rsidR="0039777B" w:rsidRPr="00570ACC" w:rsidRDefault="0039777B" w:rsidP="00E47EA3">
      <w:pPr>
        <w:spacing w:line="276" w:lineRule="auto"/>
        <w:jc w:val="both"/>
        <w:rPr>
          <w:rFonts w:ascii="Corbel" w:eastAsiaTheme="minorHAnsi" w:hAnsi="Corbel" w:cs="Arial"/>
          <w:sz w:val="22"/>
          <w:szCs w:val="22"/>
          <w:lang w:val="en-GB" w:eastAsia="en-US"/>
        </w:rPr>
      </w:pPr>
    </w:p>
    <w:p w14:paraId="7758CBAB" w14:textId="77777777" w:rsidR="00F55805" w:rsidRPr="00570ACC" w:rsidRDefault="00F55805" w:rsidP="00F55805">
      <w:pPr>
        <w:tabs>
          <w:tab w:val="left" w:pos="7230"/>
        </w:tabs>
        <w:spacing w:line="276" w:lineRule="auto"/>
        <w:jc w:val="both"/>
        <w:outlineLvl w:val="0"/>
        <w:rPr>
          <w:rFonts w:ascii="Corbel" w:hAnsi="Corbel" w:cs="Arial"/>
          <w:b/>
          <w:bCs/>
          <w:sz w:val="22"/>
          <w:szCs w:val="22"/>
          <w:lang w:val="en-GB"/>
        </w:rPr>
      </w:pPr>
      <w:bookmarkStart w:id="74" w:name="_Toc103506612"/>
      <w:r w:rsidRPr="001B5FBD">
        <w:rPr>
          <w:rFonts w:ascii="Corbel" w:hAnsi="Corbel" w:cs="Arial"/>
          <w:b/>
          <w:bCs/>
          <w:sz w:val="22"/>
          <w:szCs w:val="22"/>
          <w:u w:val="single"/>
          <w:lang w:val="en-GB"/>
        </w:rPr>
        <w:t>Outcome 1: LAS capacity strengthened to manage regional economic integration related processes</w:t>
      </w:r>
      <w:r w:rsidRPr="00570ACC">
        <w:rPr>
          <w:rFonts w:ascii="Corbel" w:hAnsi="Corbel" w:cs="Arial"/>
          <w:b/>
          <w:bCs/>
          <w:sz w:val="22"/>
          <w:szCs w:val="22"/>
          <w:lang w:val="en-GB"/>
        </w:rPr>
        <w:t>.</w:t>
      </w:r>
      <w:bookmarkEnd w:id="74"/>
      <w:r w:rsidRPr="00570ACC">
        <w:rPr>
          <w:rFonts w:ascii="Corbel" w:hAnsi="Corbel" w:cs="Arial"/>
          <w:b/>
          <w:bCs/>
          <w:sz w:val="22"/>
          <w:szCs w:val="22"/>
          <w:lang w:val="en-GB"/>
        </w:rPr>
        <w:t xml:space="preserve"> </w:t>
      </w:r>
    </w:p>
    <w:p w14:paraId="549713EE" w14:textId="77777777" w:rsidR="001B5FBD" w:rsidRDefault="001B5FBD" w:rsidP="008D2F54">
      <w:pPr>
        <w:spacing w:line="276" w:lineRule="auto"/>
        <w:jc w:val="both"/>
        <w:rPr>
          <w:rFonts w:ascii="Corbel" w:eastAsiaTheme="minorHAnsi" w:hAnsi="Corbel" w:cs="Arial"/>
          <w:b/>
          <w:bCs/>
          <w:iCs/>
          <w:sz w:val="22"/>
          <w:szCs w:val="22"/>
          <w:highlight w:val="yellow"/>
          <w:lang w:val="en-GB" w:eastAsia="en-US"/>
        </w:rPr>
      </w:pPr>
    </w:p>
    <w:p w14:paraId="6E2F7D1F" w14:textId="27A73488" w:rsidR="00E44237" w:rsidRPr="001B5FBD" w:rsidRDefault="00BF5FBC" w:rsidP="008D2F54">
      <w:pPr>
        <w:spacing w:line="276" w:lineRule="auto"/>
        <w:jc w:val="both"/>
        <w:rPr>
          <w:rFonts w:ascii="Corbel" w:eastAsiaTheme="minorHAnsi" w:hAnsi="Corbel" w:cs="Arial"/>
          <w:b/>
          <w:bCs/>
          <w:iCs/>
          <w:sz w:val="22"/>
          <w:szCs w:val="22"/>
          <w:lang w:val="en-GB" w:eastAsia="en-US"/>
        </w:rPr>
      </w:pPr>
      <w:r w:rsidRPr="001B5FBD">
        <w:rPr>
          <w:rFonts w:ascii="Corbel" w:eastAsiaTheme="minorHAnsi" w:hAnsi="Corbel" w:cs="Arial"/>
          <w:b/>
          <w:bCs/>
          <w:iCs/>
          <w:sz w:val="22"/>
          <w:szCs w:val="22"/>
          <w:lang w:val="en-GB" w:eastAsia="en-US"/>
        </w:rPr>
        <w:t>Output 1: Structured and targeted technical support to LAS secretariat and Arab negotiators on trade policy formulation and reform under PAFTA</w:t>
      </w:r>
    </w:p>
    <w:p w14:paraId="30632C1A" w14:textId="49BA1045" w:rsidR="008D2F54" w:rsidRPr="0003093F" w:rsidRDefault="008D2F54" w:rsidP="008D2F54">
      <w:pPr>
        <w:spacing w:line="276" w:lineRule="auto"/>
        <w:jc w:val="both"/>
        <w:outlineLvl w:val="0"/>
        <w:rPr>
          <w:rFonts w:ascii="Corbel" w:hAnsi="Corbel"/>
          <w:sz w:val="22"/>
          <w:szCs w:val="22"/>
          <w:lang w:val="en-GB"/>
        </w:rPr>
      </w:pPr>
      <w:bookmarkStart w:id="75" w:name="_Toc103506613"/>
      <w:r w:rsidRPr="0003093F">
        <w:rPr>
          <w:rFonts w:ascii="Corbel" w:hAnsi="Corbel"/>
          <w:sz w:val="22"/>
          <w:szCs w:val="22"/>
          <w:lang w:val="en-GB"/>
        </w:rPr>
        <w:t xml:space="preserve">The project </w:t>
      </w:r>
      <w:r>
        <w:rPr>
          <w:rFonts w:ascii="Corbel" w:hAnsi="Corbel"/>
          <w:sz w:val="22"/>
          <w:szCs w:val="22"/>
          <w:lang w:val="en-GB"/>
        </w:rPr>
        <w:t xml:space="preserve">focused on the </w:t>
      </w:r>
      <w:r w:rsidRPr="0003093F">
        <w:rPr>
          <w:rFonts w:ascii="Corbel" w:hAnsi="Corbel"/>
          <w:sz w:val="22"/>
          <w:szCs w:val="22"/>
          <w:lang w:val="en-GB"/>
        </w:rPr>
        <w:t xml:space="preserve">upgrading of the Executive Programme of the Arab Agreement in the facilitation of trade and investment, </w:t>
      </w:r>
      <w:r>
        <w:rPr>
          <w:rFonts w:ascii="Corbel" w:hAnsi="Corbel"/>
          <w:sz w:val="22"/>
          <w:szCs w:val="22"/>
          <w:lang w:val="en-GB"/>
        </w:rPr>
        <w:t xml:space="preserve">the </w:t>
      </w:r>
      <w:r w:rsidRPr="0003093F">
        <w:rPr>
          <w:rFonts w:ascii="Corbel" w:hAnsi="Corbel"/>
          <w:sz w:val="22"/>
          <w:szCs w:val="22"/>
          <w:lang w:val="en-GB"/>
        </w:rPr>
        <w:t>so</w:t>
      </w:r>
      <w:r>
        <w:rPr>
          <w:rFonts w:ascii="Corbel" w:hAnsi="Corbel"/>
          <w:sz w:val="22"/>
          <w:szCs w:val="22"/>
          <w:lang w:val="en-GB"/>
        </w:rPr>
        <w:t>-</w:t>
      </w:r>
      <w:r w:rsidRPr="0003093F">
        <w:rPr>
          <w:rFonts w:ascii="Corbel" w:hAnsi="Corbel"/>
          <w:sz w:val="22"/>
          <w:szCs w:val="22"/>
          <w:lang w:val="en-GB"/>
        </w:rPr>
        <w:t>called PAFTA Plus</w:t>
      </w:r>
      <w:r>
        <w:rPr>
          <w:rFonts w:ascii="Corbel" w:hAnsi="Corbel"/>
          <w:sz w:val="22"/>
          <w:szCs w:val="22"/>
          <w:lang w:val="en-GB"/>
        </w:rPr>
        <w:t xml:space="preserve">, by supporting LAS </w:t>
      </w:r>
      <w:r w:rsidRPr="0003093F">
        <w:rPr>
          <w:rFonts w:ascii="Corbel" w:hAnsi="Corbel"/>
          <w:sz w:val="22"/>
          <w:szCs w:val="22"/>
          <w:lang w:val="en-GB"/>
        </w:rPr>
        <w:t>Economic Sector/Arab Economic Integration Department</w:t>
      </w:r>
      <w:r>
        <w:rPr>
          <w:rFonts w:ascii="Corbel" w:hAnsi="Corbel"/>
          <w:sz w:val="22"/>
          <w:szCs w:val="22"/>
          <w:lang w:val="en-GB"/>
        </w:rPr>
        <w:t xml:space="preserve"> in</w:t>
      </w:r>
      <w:r w:rsidRPr="0003093F">
        <w:rPr>
          <w:rFonts w:ascii="Corbel" w:hAnsi="Corbel"/>
          <w:sz w:val="22"/>
          <w:szCs w:val="22"/>
          <w:lang w:val="en-GB"/>
        </w:rPr>
        <w:t xml:space="preserve"> drafting </w:t>
      </w:r>
      <w:r>
        <w:rPr>
          <w:rFonts w:ascii="Corbel" w:hAnsi="Corbel"/>
          <w:sz w:val="22"/>
          <w:szCs w:val="22"/>
          <w:lang w:val="en-GB"/>
        </w:rPr>
        <w:t>technical</w:t>
      </w:r>
      <w:r w:rsidRPr="0003093F">
        <w:rPr>
          <w:rFonts w:ascii="Corbel" w:hAnsi="Corbel"/>
          <w:sz w:val="22"/>
          <w:szCs w:val="22"/>
          <w:lang w:val="en-GB"/>
        </w:rPr>
        <w:t xml:space="preserve"> documents</w:t>
      </w:r>
      <w:r>
        <w:rPr>
          <w:rFonts w:ascii="Corbel" w:hAnsi="Corbel"/>
          <w:sz w:val="22"/>
          <w:szCs w:val="22"/>
          <w:lang w:val="en-GB"/>
        </w:rPr>
        <w:t xml:space="preserve"> and in the</w:t>
      </w:r>
      <w:r w:rsidRPr="0003093F">
        <w:rPr>
          <w:rFonts w:ascii="Corbel" w:hAnsi="Corbel"/>
          <w:sz w:val="22"/>
          <w:szCs w:val="22"/>
          <w:lang w:val="en-GB"/>
        </w:rPr>
        <w:t xml:space="preserve"> provision of technical </w:t>
      </w:r>
      <w:r w:rsidR="00D23F96" w:rsidRPr="0003093F">
        <w:rPr>
          <w:rFonts w:ascii="Corbel" w:hAnsi="Corbel"/>
          <w:sz w:val="22"/>
          <w:szCs w:val="22"/>
          <w:lang w:val="en-GB"/>
        </w:rPr>
        <w:t>advice</w:t>
      </w:r>
      <w:r w:rsidRPr="0003093F">
        <w:rPr>
          <w:rFonts w:ascii="Corbel" w:hAnsi="Corbel"/>
          <w:sz w:val="22"/>
          <w:szCs w:val="22"/>
          <w:lang w:val="en-GB"/>
        </w:rPr>
        <w:t xml:space="preserve"> to trade negotiators </w:t>
      </w:r>
      <w:r>
        <w:rPr>
          <w:rFonts w:ascii="Corbel" w:hAnsi="Corbel"/>
          <w:sz w:val="22"/>
          <w:szCs w:val="22"/>
          <w:lang w:val="en-GB"/>
        </w:rPr>
        <w:t>among</w:t>
      </w:r>
      <w:r w:rsidRPr="0003093F">
        <w:rPr>
          <w:rFonts w:ascii="Corbel" w:hAnsi="Corbel"/>
          <w:sz w:val="22"/>
          <w:szCs w:val="22"/>
          <w:lang w:val="en-GB"/>
        </w:rPr>
        <w:t xml:space="preserve"> Arab countries.</w:t>
      </w:r>
      <w:bookmarkEnd w:id="75"/>
      <w:r w:rsidRPr="0003093F">
        <w:rPr>
          <w:rFonts w:ascii="Corbel" w:hAnsi="Corbel"/>
          <w:sz w:val="22"/>
          <w:szCs w:val="22"/>
          <w:lang w:val="en-GB"/>
        </w:rPr>
        <w:t xml:space="preserve"> </w:t>
      </w:r>
    </w:p>
    <w:p w14:paraId="679FA5ED" w14:textId="77777777" w:rsidR="008D2F54" w:rsidRPr="0003093F" w:rsidRDefault="008D2F54" w:rsidP="008D2F54">
      <w:pPr>
        <w:spacing w:line="276" w:lineRule="auto"/>
        <w:jc w:val="both"/>
        <w:outlineLvl w:val="0"/>
        <w:rPr>
          <w:rFonts w:ascii="Corbel" w:hAnsi="Corbel"/>
          <w:sz w:val="22"/>
          <w:szCs w:val="22"/>
          <w:lang w:val="en-GB"/>
        </w:rPr>
      </w:pPr>
    </w:p>
    <w:p w14:paraId="72AD760C" w14:textId="52288C87" w:rsidR="008D2F54" w:rsidRPr="0003093F" w:rsidRDefault="008D2F54" w:rsidP="008D2F54">
      <w:pPr>
        <w:spacing w:line="276" w:lineRule="auto"/>
        <w:jc w:val="both"/>
        <w:outlineLvl w:val="0"/>
        <w:rPr>
          <w:rFonts w:ascii="Corbel" w:hAnsi="Corbel"/>
          <w:sz w:val="22"/>
          <w:szCs w:val="22"/>
          <w:lang w:val="en-GB"/>
        </w:rPr>
      </w:pPr>
      <w:bookmarkStart w:id="76" w:name="_Toc103506614"/>
      <w:r>
        <w:rPr>
          <w:rFonts w:ascii="Corbel" w:hAnsi="Corbel"/>
          <w:sz w:val="22"/>
          <w:szCs w:val="22"/>
          <w:lang w:val="en-GB"/>
        </w:rPr>
        <w:lastRenderedPageBreak/>
        <w:t xml:space="preserve">Within LAS, </w:t>
      </w:r>
      <w:r w:rsidRPr="0003093F">
        <w:rPr>
          <w:rFonts w:ascii="Corbel" w:hAnsi="Corbel"/>
          <w:sz w:val="22"/>
          <w:szCs w:val="22"/>
          <w:lang w:val="en-GB"/>
        </w:rPr>
        <w:t>Working Groups</w:t>
      </w:r>
      <w:r>
        <w:rPr>
          <w:rFonts w:ascii="Corbel" w:hAnsi="Corbel"/>
          <w:sz w:val="22"/>
          <w:szCs w:val="22"/>
          <w:lang w:val="en-GB"/>
        </w:rPr>
        <w:t xml:space="preserve"> and</w:t>
      </w:r>
      <w:r w:rsidRPr="0003093F">
        <w:rPr>
          <w:rFonts w:ascii="Corbel" w:hAnsi="Corbel"/>
          <w:sz w:val="22"/>
          <w:szCs w:val="22"/>
          <w:lang w:val="en-GB"/>
        </w:rPr>
        <w:t xml:space="preserve"> technical </w:t>
      </w:r>
      <w:r w:rsidR="00F557E8" w:rsidRPr="0003093F">
        <w:rPr>
          <w:rFonts w:ascii="Corbel" w:hAnsi="Corbel"/>
          <w:sz w:val="22"/>
          <w:szCs w:val="22"/>
          <w:lang w:val="en-GB"/>
        </w:rPr>
        <w:t>committees are responsible</w:t>
      </w:r>
      <w:r w:rsidRPr="0003093F">
        <w:rPr>
          <w:rFonts w:ascii="Corbel" w:hAnsi="Corbel"/>
          <w:sz w:val="22"/>
          <w:szCs w:val="22"/>
          <w:lang w:val="en-GB"/>
        </w:rPr>
        <w:t xml:space="preserve"> to negotiate regional activities within their technical </w:t>
      </w:r>
      <w:r w:rsidR="00F557E8" w:rsidRPr="0003093F">
        <w:rPr>
          <w:rFonts w:ascii="Corbel" w:hAnsi="Corbel"/>
          <w:sz w:val="22"/>
          <w:szCs w:val="22"/>
          <w:lang w:val="en-GB"/>
        </w:rPr>
        <w:t>purviews and to</w:t>
      </w:r>
      <w:r w:rsidRPr="0003093F">
        <w:rPr>
          <w:rFonts w:ascii="Corbel" w:hAnsi="Corbel"/>
          <w:sz w:val="22"/>
          <w:szCs w:val="22"/>
          <w:lang w:val="en-GB"/>
        </w:rPr>
        <w:t xml:space="preserve"> </w:t>
      </w:r>
      <w:r>
        <w:rPr>
          <w:rFonts w:ascii="Corbel" w:hAnsi="Corbel"/>
          <w:sz w:val="22"/>
          <w:szCs w:val="22"/>
          <w:lang w:val="en-GB"/>
        </w:rPr>
        <w:t xml:space="preserve">follow-up with Member States responsible to </w:t>
      </w:r>
      <w:r w:rsidRPr="0003093F">
        <w:rPr>
          <w:rFonts w:ascii="Corbel" w:hAnsi="Corbel"/>
          <w:sz w:val="22"/>
          <w:szCs w:val="22"/>
          <w:lang w:val="en-GB"/>
        </w:rPr>
        <w:t xml:space="preserve">implement the adopted decisions. </w:t>
      </w:r>
      <w:r>
        <w:rPr>
          <w:rFonts w:ascii="Corbel" w:hAnsi="Corbel"/>
          <w:sz w:val="22"/>
          <w:szCs w:val="22"/>
          <w:lang w:val="en-GB"/>
        </w:rPr>
        <w:t>P</w:t>
      </w:r>
      <w:r w:rsidRPr="0003093F">
        <w:rPr>
          <w:rFonts w:ascii="Corbel" w:hAnsi="Corbel"/>
          <w:sz w:val="22"/>
          <w:szCs w:val="22"/>
          <w:lang w:val="en-GB"/>
        </w:rPr>
        <w:t xml:space="preserve">rogress </w:t>
      </w:r>
      <w:r>
        <w:rPr>
          <w:rFonts w:ascii="Corbel" w:hAnsi="Corbel"/>
          <w:sz w:val="22"/>
          <w:szCs w:val="22"/>
          <w:lang w:val="en-GB"/>
        </w:rPr>
        <w:t>is r</w:t>
      </w:r>
      <w:r w:rsidRPr="0003093F">
        <w:rPr>
          <w:rFonts w:ascii="Corbel" w:hAnsi="Corbel"/>
          <w:sz w:val="22"/>
          <w:szCs w:val="22"/>
          <w:lang w:val="en-GB"/>
        </w:rPr>
        <w:t>eported to LAS ECOSOC through the Enforcement and Monitoring Committee.</w:t>
      </w:r>
      <w:r>
        <w:rPr>
          <w:rFonts w:ascii="Corbel" w:hAnsi="Corbel"/>
          <w:sz w:val="22"/>
          <w:szCs w:val="22"/>
          <w:lang w:val="en-GB"/>
        </w:rPr>
        <w:t xml:space="preserve"> </w:t>
      </w:r>
      <w:r w:rsidRPr="0003093F">
        <w:rPr>
          <w:rFonts w:ascii="Corbel" w:hAnsi="Corbel"/>
          <w:sz w:val="22"/>
          <w:szCs w:val="22"/>
          <w:lang w:val="en-GB"/>
        </w:rPr>
        <w:t>During the reporting period, the project team supported the negotiations of technical and legal instruments under the purview of the following working groups and technical committees</w:t>
      </w:r>
      <w:r>
        <w:rPr>
          <w:rFonts w:ascii="Corbel" w:hAnsi="Corbel"/>
          <w:sz w:val="22"/>
          <w:szCs w:val="22"/>
          <w:lang w:val="en-GB"/>
        </w:rPr>
        <w:t xml:space="preserve"> established by LAS </w:t>
      </w:r>
      <w:r w:rsidRPr="0003093F">
        <w:rPr>
          <w:rFonts w:ascii="Corbel" w:hAnsi="Corbel"/>
          <w:sz w:val="22"/>
          <w:szCs w:val="22"/>
          <w:lang w:val="en-GB"/>
        </w:rPr>
        <w:t>ECOSOC</w:t>
      </w:r>
      <w:r>
        <w:rPr>
          <w:rFonts w:ascii="Corbel" w:hAnsi="Corbel"/>
          <w:sz w:val="22"/>
          <w:szCs w:val="22"/>
          <w:lang w:val="en-GB"/>
        </w:rPr>
        <w:t>:</w:t>
      </w:r>
      <w:bookmarkEnd w:id="76"/>
    </w:p>
    <w:p w14:paraId="03969B5B" w14:textId="77777777" w:rsidR="008D2F54" w:rsidRPr="0003093F" w:rsidRDefault="008D2F54" w:rsidP="008D2F54">
      <w:pPr>
        <w:pStyle w:val="ListParagraph"/>
        <w:spacing w:line="276" w:lineRule="auto"/>
        <w:ind w:left="0"/>
        <w:contextualSpacing w:val="0"/>
        <w:jc w:val="both"/>
        <w:outlineLvl w:val="0"/>
        <w:rPr>
          <w:rFonts w:ascii="Corbel" w:hAnsi="Corbel"/>
          <w:b/>
          <w:bCs/>
          <w:sz w:val="22"/>
          <w:szCs w:val="22"/>
          <w:lang w:val="en-GB"/>
        </w:rPr>
      </w:pPr>
    </w:p>
    <w:p w14:paraId="43D2A23D" w14:textId="77777777" w:rsidR="008D2F54" w:rsidRPr="0003093F" w:rsidRDefault="008D2F54" w:rsidP="000168EC">
      <w:pPr>
        <w:pStyle w:val="ListParagraph"/>
        <w:numPr>
          <w:ilvl w:val="0"/>
          <w:numId w:val="13"/>
        </w:numPr>
        <w:tabs>
          <w:tab w:val="left" w:pos="567"/>
        </w:tabs>
        <w:spacing w:line="276" w:lineRule="auto"/>
        <w:ind w:left="0" w:firstLine="0"/>
        <w:contextualSpacing w:val="0"/>
        <w:jc w:val="both"/>
        <w:outlineLvl w:val="0"/>
        <w:rPr>
          <w:rFonts w:ascii="Corbel" w:hAnsi="Corbel"/>
          <w:sz w:val="22"/>
          <w:szCs w:val="22"/>
          <w:lang w:val="en-GB"/>
        </w:rPr>
      </w:pPr>
      <w:bookmarkStart w:id="77" w:name="_Toc103506615"/>
      <w:r w:rsidRPr="0003093F">
        <w:rPr>
          <w:rFonts w:ascii="Corbel" w:hAnsi="Corbel"/>
          <w:sz w:val="22"/>
          <w:szCs w:val="22"/>
          <w:lang w:val="en-GB"/>
        </w:rPr>
        <w:t>The Committee for the Monitoring and Enforcement of PAFTA;</w:t>
      </w:r>
      <w:bookmarkEnd w:id="77"/>
    </w:p>
    <w:p w14:paraId="02A6D023" w14:textId="77777777" w:rsidR="008D2F54" w:rsidRPr="0003093F" w:rsidRDefault="008D2F54" w:rsidP="000168EC">
      <w:pPr>
        <w:pStyle w:val="ListParagraph"/>
        <w:numPr>
          <w:ilvl w:val="0"/>
          <w:numId w:val="13"/>
        </w:numPr>
        <w:tabs>
          <w:tab w:val="left" w:pos="567"/>
        </w:tabs>
        <w:spacing w:line="276" w:lineRule="auto"/>
        <w:ind w:left="0" w:firstLine="0"/>
        <w:contextualSpacing w:val="0"/>
        <w:jc w:val="both"/>
        <w:outlineLvl w:val="0"/>
        <w:rPr>
          <w:rFonts w:ascii="Corbel" w:hAnsi="Corbel"/>
          <w:sz w:val="22"/>
          <w:szCs w:val="22"/>
          <w:lang w:val="en-GB"/>
        </w:rPr>
      </w:pPr>
      <w:bookmarkStart w:id="78" w:name="_Toc103506616"/>
      <w:r w:rsidRPr="0003093F">
        <w:rPr>
          <w:rFonts w:ascii="Corbel" w:hAnsi="Corbel"/>
          <w:sz w:val="22"/>
          <w:szCs w:val="22"/>
          <w:lang w:val="en-GB"/>
        </w:rPr>
        <w:t>Arab Customs Directorates General meetings;</w:t>
      </w:r>
      <w:bookmarkEnd w:id="78"/>
    </w:p>
    <w:p w14:paraId="548B7740" w14:textId="5FD55E0A" w:rsidR="008D2F54" w:rsidRPr="0003093F" w:rsidRDefault="008D2F54" w:rsidP="008D2F54">
      <w:pPr>
        <w:tabs>
          <w:tab w:val="left" w:pos="567"/>
        </w:tabs>
        <w:spacing w:line="276" w:lineRule="auto"/>
        <w:jc w:val="both"/>
        <w:outlineLvl w:val="0"/>
        <w:rPr>
          <w:rFonts w:ascii="Corbel" w:hAnsi="Corbel"/>
          <w:sz w:val="22"/>
          <w:szCs w:val="22"/>
          <w:lang w:val="en-GB"/>
        </w:rPr>
      </w:pPr>
      <w:bookmarkStart w:id="79" w:name="_Toc103506617"/>
      <w:r w:rsidRPr="0003093F">
        <w:rPr>
          <w:rFonts w:ascii="Corbel" w:hAnsi="Corbel"/>
          <w:sz w:val="22"/>
          <w:szCs w:val="22"/>
          <w:lang w:val="en-GB"/>
        </w:rPr>
        <w:t xml:space="preserve">3. </w:t>
      </w:r>
      <w:r w:rsidRPr="0003093F">
        <w:rPr>
          <w:rFonts w:ascii="Corbel" w:hAnsi="Corbel"/>
          <w:sz w:val="22"/>
          <w:szCs w:val="22"/>
          <w:lang w:val="en-GB"/>
        </w:rPr>
        <w:tab/>
        <w:t>The Technical Committee on Arab Customs Union;</w:t>
      </w:r>
      <w:bookmarkEnd w:id="79"/>
    </w:p>
    <w:p w14:paraId="056AB65C" w14:textId="77777777" w:rsidR="008D2F54" w:rsidRPr="0003093F" w:rsidRDefault="008D2F54" w:rsidP="008D2F54">
      <w:pPr>
        <w:tabs>
          <w:tab w:val="left" w:pos="567"/>
        </w:tabs>
        <w:spacing w:line="276" w:lineRule="auto"/>
        <w:jc w:val="both"/>
        <w:outlineLvl w:val="0"/>
        <w:rPr>
          <w:rFonts w:ascii="Corbel" w:eastAsia="Times New Roman" w:hAnsi="Corbel"/>
          <w:sz w:val="22"/>
          <w:szCs w:val="22"/>
          <w:lang w:val="en-GB"/>
        </w:rPr>
      </w:pPr>
      <w:bookmarkStart w:id="80" w:name="_Toc103506618"/>
      <w:r w:rsidRPr="0003093F">
        <w:rPr>
          <w:rFonts w:ascii="Corbel" w:eastAsia="Times New Roman" w:hAnsi="Corbel"/>
          <w:sz w:val="22"/>
          <w:szCs w:val="22"/>
          <w:lang w:val="en-GB"/>
        </w:rPr>
        <w:t>4.</w:t>
      </w:r>
      <w:r w:rsidRPr="0003093F">
        <w:rPr>
          <w:rFonts w:ascii="Corbel" w:eastAsia="Times New Roman" w:hAnsi="Corbel"/>
          <w:b/>
          <w:bCs/>
          <w:sz w:val="22"/>
          <w:szCs w:val="22"/>
          <w:lang w:val="en-GB"/>
        </w:rPr>
        <w:t xml:space="preserve"> </w:t>
      </w:r>
      <w:r w:rsidRPr="0003093F">
        <w:rPr>
          <w:rFonts w:ascii="Corbel" w:eastAsia="Times New Roman" w:hAnsi="Corbel"/>
          <w:b/>
          <w:bCs/>
          <w:sz w:val="22"/>
          <w:szCs w:val="22"/>
          <w:lang w:val="en-GB"/>
        </w:rPr>
        <w:tab/>
      </w:r>
      <w:r w:rsidRPr="0003093F">
        <w:rPr>
          <w:rFonts w:ascii="Corbel" w:eastAsia="Times New Roman" w:hAnsi="Corbel"/>
          <w:sz w:val="22"/>
          <w:szCs w:val="22"/>
          <w:lang w:val="en-GB"/>
        </w:rPr>
        <w:t>Technical Committee on Customs Procedures;</w:t>
      </w:r>
      <w:bookmarkEnd w:id="80"/>
    </w:p>
    <w:p w14:paraId="69E2A54F" w14:textId="77777777" w:rsidR="008D2F54" w:rsidRPr="0003093F" w:rsidRDefault="008D2F54" w:rsidP="008D2F54">
      <w:pPr>
        <w:tabs>
          <w:tab w:val="left" w:pos="567"/>
        </w:tabs>
        <w:spacing w:line="276" w:lineRule="auto"/>
        <w:jc w:val="both"/>
        <w:outlineLvl w:val="0"/>
        <w:rPr>
          <w:rFonts w:ascii="Corbel" w:eastAsia="Times New Roman" w:hAnsi="Corbel"/>
          <w:sz w:val="22"/>
          <w:szCs w:val="22"/>
          <w:lang w:val="en-GB"/>
        </w:rPr>
      </w:pPr>
      <w:bookmarkStart w:id="81" w:name="_Toc103506619"/>
      <w:r w:rsidRPr="0003093F">
        <w:rPr>
          <w:rFonts w:ascii="Corbel" w:eastAsia="Times New Roman" w:hAnsi="Corbel"/>
          <w:sz w:val="22"/>
          <w:szCs w:val="22"/>
          <w:lang w:val="en-GB"/>
        </w:rPr>
        <w:t xml:space="preserve">5. </w:t>
      </w:r>
      <w:r w:rsidRPr="0003093F">
        <w:rPr>
          <w:rFonts w:ascii="Corbel" w:eastAsia="Times New Roman" w:hAnsi="Corbel"/>
          <w:sz w:val="22"/>
          <w:szCs w:val="22"/>
          <w:lang w:val="en-GB"/>
        </w:rPr>
        <w:tab/>
        <w:t>Working Group on Trade Facilitation;</w:t>
      </w:r>
      <w:bookmarkEnd w:id="81"/>
    </w:p>
    <w:p w14:paraId="36ECC940" w14:textId="77777777" w:rsidR="008D2F54" w:rsidRPr="0003093F" w:rsidRDefault="008D2F54" w:rsidP="008D2F54">
      <w:pPr>
        <w:tabs>
          <w:tab w:val="left" w:pos="567"/>
        </w:tabs>
        <w:spacing w:line="276" w:lineRule="auto"/>
        <w:jc w:val="both"/>
        <w:outlineLvl w:val="0"/>
        <w:rPr>
          <w:rFonts w:ascii="Corbel" w:eastAsia="Times New Roman" w:hAnsi="Corbel"/>
          <w:sz w:val="22"/>
          <w:szCs w:val="22"/>
          <w:lang w:val="en-GB"/>
        </w:rPr>
      </w:pPr>
      <w:bookmarkStart w:id="82" w:name="_Toc103506620"/>
      <w:r w:rsidRPr="0003093F">
        <w:rPr>
          <w:rFonts w:ascii="Corbel" w:eastAsia="Times New Roman" w:hAnsi="Corbel"/>
          <w:sz w:val="22"/>
          <w:szCs w:val="22"/>
          <w:lang w:val="en-GB"/>
        </w:rPr>
        <w:t xml:space="preserve">6. </w:t>
      </w:r>
      <w:r w:rsidRPr="0003093F">
        <w:rPr>
          <w:rFonts w:ascii="Corbel" w:eastAsia="Times New Roman" w:hAnsi="Corbel"/>
          <w:sz w:val="22"/>
          <w:szCs w:val="22"/>
          <w:lang w:val="en-GB"/>
        </w:rPr>
        <w:tab/>
        <w:t>Working Group on SPSs measures;</w:t>
      </w:r>
      <w:bookmarkEnd w:id="82"/>
    </w:p>
    <w:p w14:paraId="34F17843" w14:textId="77777777" w:rsidR="008D2F54" w:rsidRPr="0003093F" w:rsidRDefault="008D2F54" w:rsidP="008D2F54">
      <w:pPr>
        <w:tabs>
          <w:tab w:val="left" w:pos="567"/>
        </w:tabs>
        <w:spacing w:line="276" w:lineRule="auto"/>
        <w:jc w:val="both"/>
        <w:outlineLvl w:val="0"/>
        <w:rPr>
          <w:rFonts w:ascii="Corbel" w:eastAsia="Times New Roman" w:hAnsi="Corbel"/>
          <w:sz w:val="22"/>
          <w:szCs w:val="22"/>
          <w:lang w:val="en-GB"/>
        </w:rPr>
      </w:pPr>
      <w:bookmarkStart w:id="83" w:name="_Toc103506621"/>
      <w:r w:rsidRPr="0003093F">
        <w:rPr>
          <w:rFonts w:ascii="Corbel" w:eastAsia="Times New Roman" w:hAnsi="Corbel"/>
          <w:sz w:val="22"/>
          <w:szCs w:val="22"/>
          <w:lang w:val="en-GB"/>
        </w:rPr>
        <w:t xml:space="preserve">7. </w:t>
      </w:r>
      <w:r w:rsidRPr="0003093F">
        <w:rPr>
          <w:rFonts w:ascii="Corbel" w:eastAsia="Times New Roman" w:hAnsi="Corbel"/>
          <w:sz w:val="22"/>
          <w:szCs w:val="22"/>
          <w:lang w:val="en-GB"/>
        </w:rPr>
        <w:tab/>
        <w:t>Working Group on TBTs measures;</w:t>
      </w:r>
      <w:bookmarkEnd w:id="83"/>
    </w:p>
    <w:p w14:paraId="2E9F7E47" w14:textId="77777777" w:rsidR="008D2F54" w:rsidRPr="0003093F" w:rsidRDefault="008D2F54" w:rsidP="008D2F54">
      <w:pPr>
        <w:tabs>
          <w:tab w:val="left" w:pos="567"/>
        </w:tabs>
        <w:spacing w:line="276" w:lineRule="auto"/>
        <w:jc w:val="both"/>
        <w:outlineLvl w:val="0"/>
        <w:rPr>
          <w:rFonts w:ascii="Corbel" w:eastAsia="Times New Roman" w:hAnsi="Corbel"/>
          <w:sz w:val="22"/>
          <w:szCs w:val="22"/>
          <w:lang w:val="en-GB"/>
        </w:rPr>
      </w:pPr>
      <w:bookmarkStart w:id="84" w:name="_Toc103506622"/>
      <w:r w:rsidRPr="0003093F">
        <w:rPr>
          <w:rFonts w:ascii="Corbel" w:eastAsia="Times New Roman" w:hAnsi="Corbel"/>
          <w:sz w:val="22"/>
          <w:szCs w:val="22"/>
          <w:lang w:val="en-GB"/>
        </w:rPr>
        <w:t xml:space="preserve">8. </w:t>
      </w:r>
      <w:r w:rsidRPr="0003093F">
        <w:rPr>
          <w:rFonts w:ascii="Corbel" w:eastAsia="Times New Roman" w:hAnsi="Corbel"/>
          <w:sz w:val="22"/>
          <w:szCs w:val="22"/>
          <w:lang w:val="en-GB"/>
        </w:rPr>
        <w:tab/>
        <w:t>Technical Committee on Trade in services;</w:t>
      </w:r>
      <w:bookmarkEnd w:id="84"/>
    </w:p>
    <w:p w14:paraId="37BC3EC3" w14:textId="77777777" w:rsidR="008D2F54" w:rsidRPr="0003093F" w:rsidRDefault="008D2F54" w:rsidP="008D2F54">
      <w:pPr>
        <w:tabs>
          <w:tab w:val="left" w:pos="567"/>
        </w:tabs>
        <w:spacing w:line="276" w:lineRule="auto"/>
        <w:jc w:val="both"/>
        <w:outlineLvl w:val="0"/>
        <w:rPr>
          <w:rFonts w:ascii="Corbel" w:eastAsia="Times New Roman" w:hAnsi="Corbel"/>
          <w:sz w:val="22"/>
          <w:szCs w:val="22"/>
          <w:lang w:val="en-GB"/>
        </w:rPr>
      </w:pPr>
      <w:bookmarkStart w:id="85" w:name="_Toc103506623"/>
      <w:r w:rsidRPr="0003093F">
        <w:rPr>
          <w:rFonts w:ascii="Corbel" w:eastAsia="Times New Roman" w:hAnsi="Corbel"/>
          <w:sz w:val="22"/>
          <w:szCs w:val="22"/>
          <w:lang w:val="en-GB"/>
        </w:rPr>
        <w:t>9.</w:t>
      </w:r>
      <w:r w:rsidRPr="0003093F">
        <w:rPr>
          <w:rFonts w:ascii="Corbel" w:eastAsia="Times New Roman" w:hAnsi="Corbel"/>
          <w:sz w:val="22"/>
          <w:szCs w:val="22"/>
          <w:lang w:val="en-GB"/>
        </w:rPr>
        <w:tab/>
        <w:t>The Working Group on Competition and Consumers’ Protection;</w:t>
      </w:r>
      <w:bookmarkEnd w:id="85"/>
    </w:p>
    <w:p w14:paraId="4BC097EE" w14:textId="1C8D0B49" w:rsidR="008D2F54" w:rsidRPr="0003093F" w:rsidRDefault="008D2F54" w:rsidP="008D2F54">
      <w:pPr>
        <w:tabs>
          <w:tab w:val="left" w:pos="567"/>
        </w:tabs>
        <w:spacing w:line="276" w:lineRule="auto"/>
        <w:jc w:val="both"/>
        <w:outlineLvl w:val="0"/>
        <w:rPr>
          <w:rFonts w:ascii="Corbel" w:eastAsia="Times New Roman" w:hAnsi="Corbel"/>
          <w:sz w:val="22"/>
          <w:szCs w:val="22"/>
          <w:lang w:val="en-GB"/>
        </w:rPr>
      </w:pPr>
      <w:bookmarkStart w:id="86" w:name="_Toc103506624"/>
      <w:r w:rsidRPr="0003093F">
        <w:rPr>
          <w:rFonts w:ascii="Corbel" w:eastAsia="Times New Roman" w:hAnsi="Corbel"/>
          <w:sz w:val="22"/>
          <w:szCs w:val="22"/>
          <w:lang w:val="en-GB"/>
        </w:rPr>
        <w:t xml:space="preserve">10. </w:t>
      </w:r>
      <w:r w:rsidRPr="0003093F">
        <w:rPr>
          <w:rFonts w:ascii="Corbel" w:eastAsia="Times New Roman" w:hAnsi="Corbel"/>
          <w:sz w:val="22"/>
          <w:szCs w:val="22"/>
          <w:lang w:val="en-GB"/>
        </w:rPr>
        <w:tab/>
        <w:t xml:space="preserve">The Arab Customs Union technical committee in tariff </w:t>
      </w:r>
      <w:r w:rsidR="00F557E8" w:rsidRPr="0003093F">
        <w:rPr>
          <w:rFonts w:ascii="Corbel" w:eastAsia="Times New Roman" w:hAnsi="Corbel"/>
          <w:sz w:val="22"/>
          <w:szCs w:val="22"/>
          <w:lang w:val="en-GB"/>
        </w:rPr>
        <w:t>nomenclatures</w:t>
      </w:r>
      <w:r w:rsidR="00F557E8">
        <w:rPr>
          <w:rFonts w:ascii="Corbel" w:eastAsia="Times New Roman" w:hAnsi="Corbel"/>
          <w:sz w:val="22"/>
          <w:szCs w:val="22"/>
          <w:lang w:val="en-GB"/>
        </w:rPr>
        <w:t>;</w:t>
      </w:r>
      <w:r w:rsidR="00F557E8" w:rsidRPr="0003093F">
        <w:rPr>
          <w:rFonts w:ascii="Corbel" w:eastAsia="Times New Roman" w:hAnsi="Corbel"/>
          <w:sz w:val="22"/>
          <w:szCs w:val="22"/>
          <w:lang w:val="en-GB"/>
        </w:rPr>
        <w:t xml:space="preserve"> and</w:t>
      </w:r>
      <w:bookmarkEnd w:id="86"/>
    </w:p>
    <w:p w14:paraId="36915E2D" w14:textId="77777777" w:rsidR="008D2F54" w:rsidRPr="0003093F" w:rsidRDefault="008D2F54" w:rsidP="008D2F54">
      <w:pPr>
        <w:tabs>
          <w:tab w:val="left" w:pos="567"/>
        </w:tabs>
        <w:spacing w:line="276" w:lineRule="auto"/>
        <w:jc w:val="both"/>
        <w:outlineLvl w:val="0"/>
        <w:rPr>
          <w:rFonts w:ascii="Corbel" w:eastAsia="Times New Roman" w:hAnsi="Corbel"/>
          <w:sz w:val="22"/>
          <w:szCs w:val="22"/>
          <w:lang w:val="en-GB"/>
        </w:rPr>
      </w:pPr>
      <w:bookmarkStart w:id="87" w:name="_Toc103506625"/>
      <w:r w:rsidRPr="0003093F">
        <w:rPr>
          <w:rFonts w:ascii="Corbel" w:eastAsia="Times New Roman" w:hAnsi="Corbel"/>
          <w:sz w:val="22"/>
          <w:szCs w:val="22"/>
          <w:lang w:val="en-GB"/>
        </w:rPr>
        <w:t xml:space="preserve">11. </w:t>
      </w:r>
      <w:r w:rsidRPr="0003093F">
        <w:rPr>
          <w:rFonts w:ascii="Corbel" w:eastAsia="Times New Roman" w:hAnsi="Corbel"/>
          <w:sz w:val="22"/>
          <w:szCs w:val="22"/>
          <w:lang w:val="en-GB"/>
        </w:rPr>
        <w:tab/>
        <w:t>Technical Committee on Rules of origin.</w:t>
      </w:r>
      <w:bookmarkEnd w:id="87"/>
    </w:p>
    <w:p w14:paraId="01D6C097" w14:textId="77777777" w:rsidR="008D2F54" w:rsidRPr="0003093F" w:rsidRDefault="008D2F54" w:rsidP="008D2F54">
      <w:pPr>
        <w:spacing w:line="276" w:lineRule="auto"/>
        <w:jc w:val="both"/>
        <w:outlineLvl w:val="0"/>
        <w:rPr>
          <w:rFonts w:ascii="Corbel" w:eastAsia="Times New Roman" w:hAnsi="Corbel"/>
          <w:b/>
          <w:bCs/>
          <w:sz w:val="22"/>
          <w:szCs w:val="22"/>
          <w:lang w:val="en-GB"/>
        </w:rPr>
      </w:pPr>
      <w:bookmarkStart w:id="88" w:name="_Hlk40626159"/>
    </w:p>
    <w:p w14:paraId="26A704F9" w14:textId="77777777" w:rsidR="008D2F54" w:rsidRDefault="008D2F54" w:rsidP="008D2F54">
      <w:pPr>
        <w:tabs>
          <w:tab w:val="center" w:pos="5021"/>
        </w:tabs>
        <w:spacing w:line="276" w:lineRule="auto"/>
        <w:jc w:val="both"/>
        <w:outlineLvl w:val="0"/>
        <w:rPr>
          <w:rFonts w:ascii="Corbel" w:eastAsia="Times New Roman" w:hAnsi="Corbel"/>
          <w:sz w:val="22"/>
          <w:szCs w:val="22"/>
          <w:lang w:val="en-GB"/>
        </w:rPr>
      </w:pPr>
      <w:bookmarkStart w:id="89" w:name="_Toc103506626"/>
      <w:bookmarkEnd w:id="88"/>
      <w:r>
        <w:rPr>
          <w:rFonts w:ascii="Corbel" w:eastAsia="Times New Roman" w:hAnsi="Corbel"/>
          <w:sz w:val="22"/>
          <w:szCs w:val="22"/>
          <w:lang w:val="en-GB"/>
        </w:rPr>
        <w:t>Results achieved in this framework include:</w:t>
      </w:r>
      <w:bookmarkEnd w:id="89"/>
      <w:r>
        <w:rPr>
          <w:rFonts w:ascii="Corbel" w:eastAsia="Times New Roman" w:hAnsi="Corbel"/>
          <w:sz w:val="22"/>
          <w:szCs w:val="22"/>
          <w:lang w:val="en-GB"/>
        </w:rPr>
        <w:tab/>
      </w:r>
    </w:p>
    <w:p w14:paraId="6FB6A9D1" w14:textId="77777777" w:rsidR="00BA7002" w:rsidRDefault="00BA7002" w:rsidP="008D2F54">
      <w:pPr>
        <w:tabs>
          <w:tab w:val="center" w:pos="5021"/>
        </w:tabs>
        <w:spacing w:line="276" w:lineRule="auto"/>
        <w:jc w:val="both"/>
        <w:outlineLvl w:val="0"/>
        <w:rPr>
          <w:rFonts w:ascii="Corbel" w:eastAsia="Times New Roman" w:hAnsi="Corbel"/>
          <w:b/>
          <w:bCs/>
          <w:i/>
          <w:iCs/>
          <w:sz w:val="22"/>
          <w:szCs w:val="22"/>
          <w:lang w:val="en-GB"/>
        </w:rPr>
      </w:pPr>
    </w:p>
    <w:p w14:paraId="70768D10" w14:textId="6AC3AC52" w:rsidR="008D2F54" w:rsidRPr="004043AF" w:rsidRDefault="008D2F54" w:rsidP="008D2F54">
      <w:pPr>
        <w:tabs>
          <w:tab w:val="center" w:pos="5021"/>
        </w:tabs>
        <w:spacing w:line="276" w:lineRule="auto"/>
        <w:jc w:val="both"/>
        <w:outlineLvl w:val="0"/>
        <w:rPr>
          <w:rFonts w:ascii="Corbel" w:eastAsia="Times New Roman" w:hAnsi="Corbel"/>
          <w:b/>
          <w:bCs/>
          <w:i/>
          <w:iCs/>
          <w:sz w:val="22"/>
          <w:szCs w:val="22"/>
          <w:lang w:val="en-GB"/>
        </w:rPr>
      </w:pPr>
      <w:bookmarkStart w:id="90" w:name="_Toc103506627"/>
      <w:r w:rsidRPr="004043AF">
        <w:rPr>
          <w:rFonts w:ascii="Corbel" w:eastAsia="Times New Roman" w:hAnsi="Corbel"/>
          <w:b/>
          <w:bCs/>
          <w:i/>
          <w:iCs/>
          <w:sz w:val="22"/>
          <w:szCs w:val="22"/>
          <w:lang w:val="en-GB"/>
        </w:rPr>
        <w:t>On PAFTA upgrading:</w:t>
      </w:r>
      <w:bookmarkEnd w:id="90"/>
    </w:p>
    <w:p w14:paraId="0F0E9008" w14:textId="77E3FC8A" w:rsidR="008D2F54" w:rsidRPr="00F91FA2" w:rsidRDefault="008D2F54" w:rsidP="000168EC">
      <w:pPr>
        <w:pStyle w:val="ListParagraph"/>
        <w:numPr>
          <w:ilvl w:val="0"/>
          <w:numId w:val="8"/>
        </w:numPr>
        <w:spacing w:line="276" w:lineRule="auto"/>
        <w:ind w:left="567" w:firstLine="0"/>
        <w:jc w:val="both"/>
        <w:outlineLvl w:val="0"/>
        <w:rPr>
          <w:rFonts w:ascii="Corbel" w:hAnsi="Corbel" w:cstheme="minorBidi"/>
          <w:b/>
          <w:bCs/>
          <w:sz w:val="22"/>
          <w:szCs w:val="22"/>
          <w:lang w:val="en-GB"/>
        </w:rPr>
      </w:pPr>
      <w:bookmarkStart w:id="91" w:name="_Toc103506628"/>
      <w:r w:rsidRPr="4F6DD0A6">
        <w:rPr>
          <w:rFonts w:ascii="Corbel" w:hAnsi="Corbel"/>
          <w:sz w:val="22"/>
          <w:szCs w:val="22"/>
          <w:lang w:val="en-GB"/>
        </w:rPr>
        <w:t xml:space="preserve">An initial assessment of LAS country members’ needs to advance economic integration and PAFTA implementation, which constituted the basis for the project annual workplans for 2018, 2019, 2020 and </w:t>
      </w:r>
      <w:r w:rsidR="00F34D49">
        <w:rPr>
          <w:rFonts w:ascii="Corbel" w:hAnsi="Corbel"/>
          <w:sz w:val="22"/>
          <w:szCs w:val="22"/>
          <w:lang w:val="en-GB"/>
        </w:rPr>
        <w:t>2021</w:t>
      </w:r>
      <w:r w:rsidR="00965AD5">
        <w:rPr>
          <w:rFonts w:ascii="Corbel" w:hAnsi="Corbel"/>
          <w:sz w:val="22"/>
          <w:szCs w:val="22"/>
          <w:lang w:val="en-GB"/>
        </w:rPr>
        <w:t>-Q</w:t>
      </w:r>
      <w:r w:rsidR="00F7704D">
        <w:rPr>
          <w:rFonts w:ascii="Corbel" w:hAnsi="Corbel"/>
          <w:sz w:val="22"/>
          <w:szCs w:val="22"/>
          <w:lang w:val="en-GB"/>
        </w:rPr>
        <w:t>1</w:t>
      </w:r>
      <w:r w:rsidR="001A6F24">
        <w:rPr>
          <w:rFonts w:ascii="Corbel" w:hAnsi="Corbel"/>
          <w:sz w:val="22"/>
          <w:szCs w:val="22"/>
          <w:lang w:val="en-GB"/>
        </w:rPr>
        <w:t xml:space="preserve"> </w:t>
      </w:r>
      <w:r w:rsidRPr="4F6DD0A6">
        <w:rPr>
          <w:rFonts w:ascii="Corbel" w:hAnsi="Corbel"/>
          <w:sz w:val="22"/>
          <w:szCs w:val="22"/>
          <w:lang w:val="en-GB"/>
        </w:rPr>
        <w:t>2022 upon the confirmation by LAS. Workplans were further refined throughout the life of the project to accommodate shifting priorities (</w:t>
      </w:r>
      <w:r w:rsidR="00F557E8" w:rsidRPr="4F6DD0A6">
        <w:rPr>
          <w:rFonts w:ascii="Corbel" w:hAnsi="Corbel"/>
          <w:sz w:val="22"/>
          <w:szCs w:val="22"/>
          <w:lang w:val="en-GB"/>
        </w:rPr>
        <w:t>e.g.,</w:t>
      </w:r>
      <w:r w:rsidRPr="4F6DD0A6">
        <w:rPr>
          <w:rFonts w:ascii="Corbel" w:hAnsi="Corbel"/>
          <w:sz w:val="22"/>
          <w:szCs w:val="22"/>
          <w:lang w:val="en-GB"/>
        </w:rPr>
        <w:t xml:space="preserve"> due to the spread of the COVID-19 pandemic) or different levels of countries’ readiness to engage in the proposed activities, which were influenced by country-specific circumstances and shifting policy priorities (</w:t>
      </w:r>
      <w:r w:rsidR="00DB687B" w:rsidRPr="4F6DD0A6">
        <w:rPr>
          <w:rFonts w:ascii="Corbel" w:hAnsi="Corbel"/>
          <w:sz w:val="22"/>
          <w:szCs w:val="22"/>
          <w:lang w:val="en-GB"/>
        </w:rPr>
        <w:t>e.g.,</w:t>
      </w:r>
      <w:r w:rsidRPr="4F6DD0A6">
        <w:rPr>
          <w:rFonts w:ascii="Corbel" w:hAnsi="Corbel"/>
          <w:sz w:val="22"/>
          <w:szCs w:val="22"/>
          <w:lang w:val="en-GB"/>
        </w:rPr>
        <w:t xml:space="preserve"> this made it challenging to work with the Sudanese government as it was initially envisaged by the project).</w:t>
      </w:r>
      <w:bookmarkEnd w:id="91"/>
    </w:p>
    <w:p w14:paraId="3CB84811" w14:textId="7A4D86D6" w:rsidR="008D2F54" w:rsidRPr="0003093F" w:rsidRDefault="008D2F54" w:rsidP="008D2F54">
      <w:pPr>
        <w:numPr>
          <w:ilvl w:val="0"/>
          <w:numId w:val="2"/>
        </w:numPr>
        <w:spacing w:line="276" w:lineRule="auto"/>
        <w:ind w:left="567" w:firstLine="0"/>
        <w:jc w:val="both"/>
        <w:outlineLvl w:val="0"/>
        <w:rPr>
          <w:rFonts w:ascii="Corbel" w:eastAsia="Times New Roman" w:hAnsi="Corbel"/>
          <w:sz w:val="22"/>
          <w:szCs w:val="22"/>
          <w:lang w:val="en-GB"/>
        </w:rPr>
      </w:pPr>
      <w:bookmarkStart w:id="92" w:name="_Toc103506629"/>
      <w:r w:rsidRPr="4F6DD0A6">
        <w:rPr>
          <w:rFonts w:ascii="Corbel" w:eastAsia="Times New Roman" w:hAnsi="Corbel"/>
          <w:sz w:val="22"/>
          <w:szCs w:val="22"/>
          <w:lang w:val="en-GB"/>
        </w:rPr>
        <w:t>A draft legal instrument on the protection of Intellectual Property Rights, which was discussed by LAS and member states, although progress was slowed down by some overlapping functions within LAS Economic Sector between the Intellectual Property Rights Department and the Arab Economic Integration Department.</w:t>
      </w:r>
      <w:bookmarkEnd w:id="92"/>
    </w:p>
    <w:p w14:paraId="04B180C2" w14:textId="77777777" w:rsidR="008D2F54" w:rsidRPr="0003093F" w:rsidRDefault="008D2F54" w:rsidP="008D2F54">
      <w:pPr>
        <w:numPr>
          <w:ilvl w:val="0"/>
          <w:numId w:val="2"/>
        </w:numPr>
        <w:spacing w:line="276" w:lineRule="auto"/>
        <w:ind w:left="567" w:firstLine="0"/>
        <w:jc w:val="both"/>
        <w:outlineLvl w:val="0"/>
        <w:rPr>
          <w:rFonts w:ascii="Corbel" w:eastAsia="Times New Roman" w:hAnsi="Corbel"/>
          <w:sz w:val="22"/>
          <w:szCs w:val="22"/>
          <w:lang w:val="en-GB"/>
        </w:rPr>
      </w:pPr>
      <w:bookmarkStart w:id="93" w:name="_Toc103506630"/>
      <w:r w:rsidRPr="0003093F">
        <w:rPr>
          <w:rFonts w:ascii="Corbel" w:eastAsia="Times New Roman" w:hAnsi="Corbel"/>
          <w:sz w:val="22"/>
          <w:szCs w:val="22"/>
          <w:lang w:val="en-GB"/>
        </w:rPr>
        <w:t xml:space="preserve">Guidelines on </w:t>
      </w:r>
      <w:r>
        <w:rPr>
          <w:rFonts w:ascii="Corbel" w:eastAsia="Times New Roman" w:hAnsi="Corbel"/>
          <w:sz w:val="22"/>
          <w:szCs w:val="22"/>
          <w:lang w:val="en-GB"/>
        </w:rPr>
        <w:t>c</w:t>
      </w:r>
      <w:r w:rsidRPr="0003093F">
        <w:rPr>
          <w:rFonts w:ascii="Corbel" w:eastAsia="Times New Roman" w:hAnsi="Corbel"/>
          <w:sz w:val="22"/>
          <w:szCs w:val="22"/>
          <w:lang w:val="en-GB"/>
        </w:rPr>
        <w:t>ompetition as the standard regulation for consumers’ protection</w:t>
      </w:r>
      <w:r>
        <w:rPr>
          <w:rFonts w:ascii="Corbel" w:eastAsia="Times New Roman" w:hAnsi="Corbel"/>
          <w:sz w:val="22"/>
          <w:szCs w:val="22"/>
          <w:lang w:val="en-GB"/>
        </w:rPr>
        <w:t xml:space="preserve"> were</w:t>
      </w:r>
      <w:r w:rsidRPr="0003093F">
        <w:rPr>
          <w:rFonts w:ascii="Corbel" w:eastAsia="Times New Roman" w:hAnsi="Corbel"/>
          <w:sz w:val="22"/>
          <w:szCs w:val="22"/>
          <w:lang w:val="en-GB"/>
        </w:rPr>
        <w:t xml:space="preserve"> </w:t>
      </w:r>
      <w:r w:rsidRPr="0003093F">
        <w:rPr>
          <w:rFonts w:ascii="Corbel" w:hAnsi="Corbel"/>
          <w:sz w:val="22"/>
          <w:szCs w:val="22"/>
        </w:rPr>
        <w:t>developed based on international legal instruments</w:t>
      </w:r>
      <w:r>
        <w:rPr>
          <w:rFonts w:ascii="Corbel" w:hAnsi="Corbel"/>
          <w:sz w:val="22"/>
          <w:szCs w:val="22"/>
        </w:rPr>
        <w:t xml:space="preserve"> were adopted by LAS ECOSOC, </w:t>
      </w:r>
      <w:r w:rsidRPr="0003093F">
        <w:rPr>
          <w:rFonts w:ascii="Corbel" w:hAnsi="Corbel"/>
          <w:sz w:val="22"/>
          <w:szCs w:val="22"/>
        </w:rPr>
        <w:t>and</w:t>
      </w:r>
      <w:r w:rsidRPr="0003093F">
        <w:rPr>
          <w:rFonts w:ascii="Corbel" w:eastAsia="Times New Roman" w:hAnsi="Corbel"/>
          <w:sz w:val="22"/>
          <w:szCs w:val="22"/>
          <w:lang w:val="en-GB"/>
        </w:rPr>
        <w:t xml:space="preserve"> </w:t>
      </w:r>
      <w:r>
        <w:rPr>
          <w:rFonts w:ascii="Corbel" w:eastAsia="Times New Roman" w:hAnsi="Corbel"/>
          <w:sz w:val="22"/>
          <w:szCs w:val="22"/>
          <w:lang w:val="en-GB"/>
        </w:rPr>
        <w:t xml:space="preserve">they will need </w:t>
      </w:r>
      <w:r w:rsidRPr="0003093F">
        <w:rPr>
          <w:rFonts w:ascii="Corbel" w:eastAsia="Times New Roman" w:hAnsi="Corbel"/>
          <w:sz w:val="22"/>
          <w:szCs w:val="22"/>
          <w:lang w:val="en-GB"/>
        </w:rPr>
        <w:t xml:space="preserve">to be further developed </w:t>
      </w:r>
      <w:r>
        <w:rPr>
          <w:rFonts w:ascii="Corbel" w:eastAsia="Times New Roman" w:hAnsi="Corbel"/>
          <w:sz w:val="22"/>
          <w:szCs w:val="22"/>
          <w:lang w:val="en-GB"/>
        </w:rPr>
        <w:t xml:space="preserve">for adoption </w:t>
      </w:r>
      <w:r w:rsidRPr="0003093F">
        <w:rPr>
          <w:rFonts w:ascii="Corbel" w:eastAsia="Times New Roman" w:hAnsi="Corbel"/>
          <w:sz w:val="22"/>
          <w:szCs w:val="22"/>
          <w:lang w:val="en-GB"/>
        </w:rPr>
        <w:t>at country level.</w:t>
      </w:r>
      <w:bookmarkEnd w:id="93"/>
      <w:r w:rsidRPr="0003093F">
        <w:rPr>
          <w:rFonts w:ascii="Corbel" w:eastAsia="Times New Roman" w:hAnsi="Corbel"/>
          <w:sz w:val="22"/>
          <w:szCs w:val="22"/>
          <w:lang w:val="en-GB"/>
        </w:rPr>
        <w:t xml:space="preserve"> </w:t>
      </w:r>
      <w:r w:rsidRPr="0003093F">
        <w:rPr>
          <w:rFonts w:ascii="Corbel" w:hAnsi="Corbel"/>
          <w:sz w:val="22"/>
          <w:szCs w:val="22"/>
          <w:lang w:val="en-GB"/>
        </w:rPr>
        <w:t xml:space="preserve"> </w:t>
      </w:r>
    </w:p>
    <w:p w14:paraId="28A53804" w14:textId="282E896F" w:rsidR="008D2F54" w:rsidRPr="0003093F" w:rsidRDefault="008D2F54" w:rsidP="008D2F54">
      <w:pPr>
        <w:numPr>
          <w:ilvl w:val="0"/>
          <w:numId w:val="2"/>
        </w:numPr>
        <w:spacing w:line="276" w:lineRule="auto"/>
        <w:ind w:left="567" w:firstLine="0"/>
        <w:jc w:val="both"/>
        <w:outlineLvl w:val="0"/>
        <w:rPr>
          <w:rFonts w:ascii="Corbel" w:eastAsia="Times New Roman" w:hAnsi="Corbel"/>
          <w:b/>
          <w:bCs/>
          <w:sz w:val="22"/>
          <w:szCs w:val="22"/>
          <w:lang w:val="en-GB"/>
        </w:rPr>
      </w:pPr>
      <w:bookmarkStart w:id="94" w:name="_Toc103506631"/>
      <w:r w:rsidRPr="4F6DD0A6">
        <w:rPr>
          <w:rFonts w:ascii="Corbel" w:hAnsi="Corbel"/>
          <w:sz w:val="22"/>
          <w:szCs w:val="22"/>
        </w:rPr>
        <w:t xml:space="preserve">The study on the cumulation of rules of origin of goods and the proposal of applying electronic processing of the Certificate of Origin to facilitate intra-Arab trade were reviewed and adopted by ECOSOC in 2020. The approach is in line with regional commitments to the WTO. The related Operational Guidelines were prepared, </w:t>
      </w:r>
      <w:r w:rsidR="00DB687B" w:rsidRPr="4F6DD0A6">
        <w:rPr>
          <w:rFonts w:ascii="Corbel" w:hAnsi="Corbel"/>
          <w:sz w:val="22"/>
          <w:szCs w:val="22"/>
        </w:rPr>
        <w:t>consulted,</w:t>
      </w:r>
      <w:r w:rsidRPr="4F6DD0A6">
        <w:rPr>
          <w:rFonts w:ascii="Corbel" w:hAnsi="Corbel"/>
          <w:sz w:val="22"/>
          <w:szCs w:val="22"/>
        </w:rPr>
        <w:t xml:space="preserve"> and adopted by countries in 2021.</w:t>
      </w:r>
      <w:bookmarkEnd w:id="94"/>
    </w:p>
    <w:p w14:paraId="6562CB5D" w14:textId="7D6E2AC2" w:rsidR="008D2F54" w:rsidRDefault="008D2F54" w:rsidP="008D2F54">
      <w:pPr>
        <w:numPr>
          <w:ilvl w:val="0"/>
          <w:numId w:val="2"/>
        </w:numPr>
        <w:spacing w:line="276" w:lineRule="auto"/>
        <w:ind w:left="567" w:firstLine="0"/>
        <w:jc w:val="both"/>
        <w:outlineLvl w:val="0"/>
        <w:rPr>
          <w:rFonts w:ascii="Corbel" w:hAnsi="Corbel"/>
          <w:sz w:val="22"/>
          <w:szCs w:val="22"/>
          <w:lang w:val="en-GB"/>
        </w:rPr>
      </w:pPr>
      <w:bookmarkStart w:id="95" w:name="_Toc103506632"/>
      <w:r w:rsidRPr="4F6DD0A6">
        <w:rPr>
          <w:rFonts w:ascii="Corbel" w:hAnsi="Corbel"/>
          <w:sz w:val="22"/>
          <w:szCs w:val="22"/>
          <w:lang w:val="en-GB"/>
        </w:rPr>
        <w:t>A comprehensive review of the draft protocols on trade-related measures related to Sanitary and Phyto-sanitary (SPSs) control and to Technical Barriers to Trade (TBTs) was conducted.</w:t>
      </w:r>
      <w:bookmarkEnd w:id="95"/>
    </w:p>
    <w:p w14:paraId="1A20ADCB" w14:textId="4867977F" w:rsidR="008D2F54" w:rsidRDefault="008D2F54" w:rsidP="008D2F54">
      <w:pPr>
        <w:numPr>
          <w:ilvl w:val="0"/>
          <w:numId w:val="2"/>
        </w:numPr>
        <w:spacing w:line="276" w:lineRule="auto"/>
        <w:ind w:left="567" w:firstLine="0"/>
        <w:jc w:val="both"/>
        <w:outlineLvl w:val="0"/>
        <w:rPr>
          <w:rFonts w:ascii="Corbel" w:hAnsi="Corbel"/>
          <w:sz w:val="22"/>
          <w:szCs w:val="22"/>
          <w:lang w:val="en-GB"/>
        </w:rPr>
      </w:pPr>
      <w:bookmarkStart w:id="96" w:name="_Toc103506633"/>
      <w:r>
        <w:rPr>
          <w:rFonts w:ascii="Corbel" w:hAnsi="Corbel"/>
          <w:sz w:val="22"/>
          <w:szCs w:val="22"/>
          <w:lang w:val="en-GB"/>
        </w:rPr>
        <w:t>As</w:t>
      </w:r>
      <w:r w:rsidRPr="0003093F">
        <w:rPr>
          <w:rFonts w:ascii="Corbel" w:hAnsi="Corbel"/>
          <w:sz w:val="22"/>
          <w:szCs w:val="22"/>
          <w:lang w:val="en-GB"/>
        </w:rPr>
        <w:t xml:space="preserve"> follow-up to the 2019 Arab Soc io-</w:t>
      </w:r>
      <w:r w:rsidR="00DB687B" w:rsidRPr="0003093F">
        <w:rPr>
          <w:rFonts w:ascii="Corbel" w:hAnsi="Corbel"/>
          <w:sz w:val="22"/>
          <w:szCs w:val="22"/>
          <w:lang w:val="en-GB"/>
        </w:rPr>
        <w:t>economic</w:t>
      </w:r>
      <w:r w:rsidRPr="0003093F">
        <w:rPr>
          <w:rFonts w:ascii="Corbel" w:hAnsi="Corbel"/>
          <w:sz w:val="22"/>
          <w:szCs w:val="22"/>
          <w:lang w:val="en-GB"/>
        </w:rPr>
        <w:t xml:space="preserve"> Summit</w:t>
      </w:r>
      <w:r>
        <w:rPr>
          <w:rFonts w:ascii="Corbel" w:hAnsi="Corbel"/>
          <w:sz w:val="22"/>
          <w:szCs w:val="22"/>
          <w:lang w:val="en-GB"/>
        </w:rPr>
        <w:t>,</w:t>
      </w:r>
      <w:r w:rsidRPr="0003093F">
        <w:rPr>
          <w:rFonts w:ascii="Corbel" w:hAnsi="Corbel"/>
          <w:sz w:val="22"/>
          <w:szCs w:val="22"/>
          <w:lang w:val="en-GB"/>
        </w:rPr>
        <w:t xml:space="preserve"> </w:t>
      </w:r>
      <w:r>
        <w:rPr>
          <w:rFonts w:ascii="Corbel" w:hAnsi="Corbel"/>
          <w:sz w:val="22"/>
          <w:szCs w:val="22"/>
          <w:lang w:val="en-GB"/>
        </w:rPr>
        <w:t>t</w:t>
      </w:r>
      <w:r w:rsidRPr="0003093F">
        <w:rPr>
          <w:rFonts w:ascii="Corbel" w:hAnsi="Corbel"/>
          <w:sz w:val="22"/>
          <w:szCs w:val="22"/>
          <w:lang w:val="en-GB"/>
        </w:rPr>
        <w:t xml:space="preserve">he project </w:t>
      </w:r>
      <w:r>
        <w:rPr>
          <w:rFonts w:ascii="Corbel" w:hAnsi="Corbel"/>
          <w:sz w:val="22"/>
          <w:szCs w:val="22"/>
          <w:lang w:val="en-GB"/>
        </w:rPr>
        <w:t>produced</w:t>
      </w:r>
      <w:r w:rsidRPr="0003093F">
        <w:rPr>
          <w:rFonts w:ascii="Corbel" w:hAnsi="Corbel"/>
          <w:sz w:val="22"/>
          <w:szCs w:val="22"/>
          <w:lang w:val="en-GB"/>
        </w:rPr>
        <w:t xml:space="preserve"> background analysis on e-Commerce, Green Economy, and the Arab Trade Repository to monitor </w:t>
      </w:r>
      <w:r>
        <w:rPr>
          <w:rFonts w:ascii="Corbel" w:hAnsi="Corbel"/>
          <w:sz w:val="22"/>
          <w:szCs w:val="22"/>
          <w:lang w:val="en-GB"/>
        </w:rPr>
        <w:t xml:space="preserve">PAFTA </w:t>
      </w:r>
      <w:r w:rsidRPr="0003093F">
        <w:rPr>
          <w:rFonts w:ascii="Corbel" w:hAnsi="Corbel"/>
          <w:sz w:val="22"/>
          <w:szCs w:val="22"/>
          <w:lang w:val="en-GB"/>
        </w:rPr>
        <w:t>implementation progress</w:t>
      </w:r>
      <w:r>
        <w:rPr>
          <w:rFonts w:ascii="Corbel" w:hAnsi="Corbel"/>
          <w:sz w:val="22"/>
          <w:szCs w:val="22"/>
          <w:lang w:val="en-GB"/>
        </w:rPr>
        <w:t>, which</w:t>
      </w:r>
      <w:r w:rsidRPr="0003093F">
        <w:rPr>
          <w:rFonts w:ascii="Corbel" w:hAnsi="Corbel"/>
          <w:sz w:val="22"/>
          <w:szCs w:val="22"/>
          <w:lang w:val="en-GB"/>
        </w:rPr>
        <w:t xml:space="preserve"> were presented to LAS ECOSOC in 2021</w:t>
      </w:r>
      <w:r>
        <w:rPr>
          <w:rFonts w:ascii="Corbel" w:hAnsi="Corbel"/>
          <w:sz w:val="22"/>
          <w:szCs w:val="22"/>
          <w:lang w:val="en-GB"/>
        </w:rPr>
        <w:t>.</w:t>
      </w:r>
      <w:bookmarkEnd w:id="96"/>
      <w:r w:rsidRPr="0003093F">
        <w:rPr>
          <w:rFonts w:ascii="Corbel" w:hAnsi="Corbel"/>
          <w:sz w:val="22"/>
          <w:szCs w:val="22"/>
          <w:lang w:val="en-GB"/>
        </w:rPr>
        <w:t xml:space="preserve"> </w:t>
      </w:r>
    </w:p>
    <w:p w14:paraId="3A4B4BDF" w14:textId="77777777" w:rsidR="004E1AE6" w:rsidRDefault="004E1AE6" w:rsidP="008D2F54">
      <w:pPr>
        <w:spacing w:line="276" w:lineRule="auto"/>
        <w:jc w:val="both"/>
        <w:outlineLvl w:val="0"/>
        <w:rPr>
          <w:rFonts w:ascii="Corbel" w:hAnsi="Corbel"/>
          <w:sz w:val="22"/>
          <w:szCs w:val="22"/>
          <w:lang w:val="en-GB"/>
        </w:rPr>
      </w:pPr>
    </w:p>
    <w:p w14:paraId="160B1C45" w14:textId="45FC12B0" w:rsidR="008D2F54" w:rsidRPr="00656B74" w:rsidRDefault="008D2F54" w:rsidP="008D2F54">
      <w:pPr>
        <w:spacing w:line="276" w:lineRule="auto"/>
        <w:jc w:val="both"/>
        <w:outlineLvl w:val="0"/>
        <w:rPr>
          <w:rFonts w:ascii="Corbel" w:hAnsi="Corbel"/>
          <w:b/>
          <w:bCs/>
          <w:i/>
          <w:iCs/>
          <w:sz w:val="22"/>
          <w:szCs w:val="22"/>
          <w:lang w:val="en-GB"/>
        </w:rPr>
      </w:pPr>
      <w:bookmarkStart w:id="97" w:name="_Toc103506634"/>
      <w:r w:rsidRPr="00656B74">
        <w:rPr>
          <w:rFonts w:ascii="Corbel" w:hAnsi="Corbel"/>
          <w:b/>
          <w:bCs/>
          <w:i/>
          <w:iCs/>
          <w:sz w:val="22"/>
          <w:szCs w:val="22"/>
          <w:lang w:val="en-GB"/>
        </w:rPr>
        <w:t>On the Arab Customs Union</w:t>
      </w:r>
      <w:bookmarkEnd w:id="97"/>
    </w:p>
    <w:p w14:paraId="43484B5F" w14:textId="053FAE5B" w:rsidR="008D2F54" w:rsidRDefault="008D2F54" w:rsidP="4F6DD0A6">
      <w:pPr>
        <w:pStyle w:val="ListParagraph"/>
        <w:numPr>
          <w:ilvl w:val="0"/>
          <w:numId w:val="2"/>
        </w:numPr>
        <w:spacing w:line="276" w:lineRule="auto"/>
        <w:ind w:left="567" w:firstLine="0"/>
        <w:jc w:val="both"/>
        <w:outlineLvl w:val="0"/>
        <w:rPr>
          <w:rFonts w:ascii="Corbel" w:hAnsi="Corbel"/>
          <w:sz w:val="22"/>
          <w:szCs w:val="22"/>
          <w:lang w:val="en-GB"/>
        </w:rPr>
      </w:pPr>
      <w:bookmarkStart w:id="98" w:name="_Toc103506635"/>
      <w:r w:rsidRPr="4F6DD0A6">
        <w:rPr>
          <w:rFonts w:ascii="Corbel" w:hAnsi="Corbel"/>
          <w:sz w:val="22"/>
          <w:szCs w:val="22"/>
          <w:lang w:val="en-GB"/>
        </w:rPr>
        <w:t>Consultations on the ACU undertaken at the Technical Committee’s meetings in December 2020 tabled queries by individual countries (</w:t>
      </w:r>
      <w:r w:rsidR="00DB687B" w:rsidRPr="4F6DD0A6">
        <w:rPr>
          <w:rFonts w:ascii="Corbel" w:hAnsi="Corbel"/>
          <w:sz w:val="22"/>
          <w:szCs w:val="22"/>
          <w:lang w:val="en-GB"/>
        </w:rPr>
        <w:t>e.g.,</w:t>
      </w:r>
      <w:r w:rsidRPr="4F6DD0A6">
        <w:rPr>
          <w:rFonts w:ascii="Corbel" w:hAnsi="Corbel"/>
          <w:sz w:val="22"/>
          <w:szCs w:val="22"/>
          <w:lang w:val="en-GB"/>
        </w:rPr>
        <w:t xml:space="preserve"> Tunisia and Morocco) which required additional analysis on the potential ACU impact on Arab economies.</w:t>
      </w:r>
      <w:bookmarkEnd w:id="98"/>
    </w:p>
    <w:p w14:paraId="47806037" w14:textId="633E9013" w:rsidR="008D2F54" w:rsidRDefault="008D2F54" w:rsidP="4F6DD0A6">
      <w:pPr>
        <w:pStyle w:val="ListParagraph"/>
        <w:numPr>
          <w:ilvl w:val="0"/>
          <w:numId w:val="2"/>
        </w:numPr>
        <w:spacing w:line="276" w:lineRule="auto"/>
        <w:ind w:left="567" w:firstLine="0"/>
        <w:jc w:val="both"/>
        <w:outlineLvl w:val="0"/>
        <w:rPr>
          <w:rFonts w:ascii="Corbel" w:hAnsi="Corbel"/>
          <w:sz w:val="22"/>
          <w:szCs w:val="22"/>
          <w:lang w:val="en-GB"/>
        </w:rPr>
      </w:pPr>
      <w:bookmarkStart w:id="99" w:name="_Toc103506636"/>
      <w:r w:rsidRPr="4F6DD0A6">
        <w:rPr>
          <w:rFonts w:ascii="Corbel" w:hAnsi="Corbel"/>
          <w:sz w:val="22"/>
          <w:szCs w:val="22"/>
          <w:lang w:val="en-GB"/>
        </w:rPr>
        <w:t>A report on the potential impact on national revenues of Arab countries, including proposed mechanisms of redistribution and compensation was prepared and presented to Technical Committee on Arab Customs Union for review in November 2020.</w:t>
      </w:r>
      <w:bookmarkEnd w:id="99"/>
    </w:p>
    <w:p w14:paraId="22F7FC9E" w14:textId="071FB84B" w:rsidR="008D2F54" w:rsidRPr="00EC1F9D" w:rsidRDefault="008D2F54" w:rsidP="4F6DD0A6">
      <w:pPr>
        <w:pStyle w:val="ListParagraph"/>
        <w:numPr>
          <w:ilvl w:val="1"/>
          <w:numId w:val="2"/>
        </w:numPr>
        <w:spacing w:line="276" w:lineRule="auto"/>
        <w:jc w:val="both"/>
        <w:outlineLvl w:val="0"/>
        <w:rPr>
          <w:rFonts w:ascii="Corbel" w:hAnsi="Corbel"/>
          <w:sz w:val="22"/>
          <w:szCs w:val="22"/>
          <w:lang w:val="en-GB"/>
        </w:rPr>
      </w:pPr>
      <w:bookmarkStart w:id="100" w:name="_Toc103506637"/>
      <w:r w:rsidRPr="4F6DD0A6">
        <w:rPr>
          <w:rFonts w:ascii="Corbel" w:hAnsi="Corbel"/>
          <w:sz w:val="22"/>
          <w:szCs w:val="22"/>
        </w:rPr>
        <w:t>The report presented the analysis of 8 scenarios under two alternatives of Common External Tariff (CET)</w:t>
      </w:r>
      <w:r w:rsidRPr="4F6DD0A6">
        <w:rPr>
          <w:rFonts w:ascii="Corbel" w:hAnsi="Corbel"/>
          <w:sz w:val="22"/>
          <w:szCs w:val="22"/>
          <w:lang w:val="en-US"/>
        </w:rPr>
        <w:t>, which was</w:t>
      </w:r>
      <w:r w:rsidRPr="4F6DD0A6">
        <w:rPr>
          <w:rFonts w:ascii="Corbel" w:hAnsi="Corbel"/>
          <w:sz w:val="22"/>
          <w:szCs w:val="22"/>
        </w:rPr>
        <w:t xml:space="preserve"> </w:t>
      </w:r>
      <w:r w:rsidRPr="4F6DD0A6">
        <w:rPr>
          <w:rFonts w:ascii="Corbel" w:hAnsi="Corbel"/>
          <w:color w:val="000000" w:themeColor="text1"/>
          <w:sz w:val="22"/>
          <w:szCs w:val="22"/>
          <w:lang w:val="en-GB"/>
        </w:rPr>
        <w:t xml:space="preserve">designed based on the </w:t>
      </w:r>
      <w:r w:rsidRPr="4F6DD0A6">
        <w:rPr>
          <w:rFonts w:ascii="Corbel" w:hAnsi="Corbel"/>
          <w:color w:val="000000" w:themeColor="text1"/>
          <w:sz w:val="22"/>
          <w:szCs w:val="22"/>
        </w:rPr>
        <w:t>lowest tariff</w:t>
      </w:r>
      <w:r w:rsidRPr="4F6DD0A6">
        <w:rPr>
          <w:rFonts w:ascii="Corbel" w:hAnsi="Corbel"/>
          <w:color w:val="000000" w:themeColor="text1"/>
          <w:sz w:val="22"/>
          <w:szCs w:val="22"/>
          <w:lang w:val="en-GB"/>
        </w:rPr>
        <w:t xml:space="preserve"> commitments by Arab countries to the WTO for a period of </w:t>
      </w:r>
      <w:r w:rsidRPr="4F6DD0A6">
        <w:rPr>
          <w:rFonts w:ascii="Corbel" w:hAnsi="Corbel"/>
          <w:color w:val="000000" w:themeColor="text1"/>
          <w:sz w:val="22"/>
          <w:szCs w:val="22"/>
        </w:rPr>
        <w:t>5 years.</w:t>
      </w:r>
      <w:bookmarkEnd w:id="100"/>
    </w:p>
    <w:p w14:paraId="1EA2FCB0" w14:textId="107C2E8C" w:rsidR="008D2F54" w:rsidRPr="0003093F" w:rsidRDefault="008D2F54" w:rsidP="008D2F54">
      <w:pPr>
        <w:pStyle w:val="ListParagraph"/>
        <w:numPr>
          <w:ilvl w:val="1"/>
          <w:numId w:val="2"/>
        </w:numPr>
        <w:spacing w:line="276" w:lineRule="auto"/>
        <w:contextualSpacing w:val="0"/>
        <w:jc w:val="both"/>
        <w:outlineLvl w:val="0"/>
        <w:rPr>
          <w:rFonts w:ascii="Corbel" w:hAnsi="Corbel"/>
          <w:sz w:val="22"/>
          <w:szCs w:val="22"/>
          <w:lang w:val="en-GB"/>
        </w:rPr>
      </w:pPr>
      <w:bookmarkStart w:id="101" w:name="_Toc103506638"/>
      <w:r>
        <w:rPr>
          <w:rFonts w:ascii="Corbel" w:hAnsi="Corbel"/>
          <w:color w:val="000000" w:themeColor="text1"/>
          <w:sz w:val="22"/>
          <w:szCs w:val="22"/>
          <w:lang w:val="en-GB"/>
        </w:rPr>
        <w:t xml:space="preserve">The report details </w:t>
      </w:r>
      <w:r w:rsidRPr="00B0028C">
        <w:rPr>
          <w:rFonts w:ascii="Corbel" w:hAnsi="Corbel"/>
          <w:sz w:val="22"/>
          <w:szCs w:val="22"/>
        </w:rPr>
        <w:t>the impact</w:t>
      </w:r>
      <w:r w:rsidRPr="0003093F">
        <w:rPr>
          <w:rFonts w:ascii="Corbel" w:hAnsi="Corbel"/>
          <w:sz w:val="22"/>
          <w:szCs w:val="22"/>
          <w:lang w:val="en-GB"/>
        </w:rPr>
        <w:t xml:space="preserve"> on tariff revenues, GDP, sectoral outputs, employment, and trade</w:t>
      </w:r>
      <w:r>
        <w:rPr>
          <w:rFonts w:ascii="Corbel" w:hAnsi="Corbel"/>
          <w:sz w:val="22"/>
          <w:szCs w:val="22"/>
          <w:lang w:val="en-GB"/>
        </w:rPr>
        <w:t xml:space="preserve"> aim</w:t>
      </w:r>
      <w:r w:rsidR="00A81CAB">
        <w:rPr>
          <w:rFonts w:ascii="Corbel" w:hAnsi="Corbel"/>
          <w:sz w:val="22"/>
          <w:szCs w:val="22"/>
          <w:lang w:val="en-GB"/>
        </w:rPr>
        <w:t xml:space="preserve">ing </w:t>
      </w:r>
      <w:r>
        <w:rPr>
          <w:rFonts w:ascii="Corbel" w:hAnsi="Corbel"/>
          <w:sz w:val="22"/>
          <w:szCs w:val="22"/>
          <w:lang w:val="en-GB"/>
        </w:rPr>
        <w:t>to inform</w:t>
      </w:r>
      <w:r w:rsidRPr="0003093F">
        <w:rPr>
          <w:rFonts w:ascii="Corbel" w:hAnsi="Corbel"/>
          <w:sz w:val="22"/>
          <w:szCs w:val="22"/>
          <w:lang w:val="en-GB"/>
        </w:rPr>
        <w:t xml:space="preserve"> countries</w:t>
      </w:r>
      <w:r>
        <w:rPr>
          <w:rFonts w:ascii="Corbel" w:hAnsi="Corbel"/>
          <w:sz w:val="22"/>
          <w:szCs w:val="22"/>
          <w:lang w:val="en-GB"/>
        </w:rPr>
        <w:t>’</w:t>
      </w:r>
      <w:r w:rsidRPr="0003093F">
        <w:rPr>
          <w:rFonts w:ascii="Corbel" w:hAnsi="Corbel"/>
          <w:sz w:val="22"/>
          <w:szCs w:val="22"/>
          <w:lang w:val="en-GB"/>
        </w:rPr>
        <w:t xml:space="preserve"> position in the negotiation of the ACU.</w:t>
      </w:r>
      <w:bookmarkEnd w:id="101"/>
      <w:r w:rsidRPr="0003093F">
        <w:rPr>
          <w:rFonts w:ascii="Corbel" w:hAnsi="Corbel"/>
          <w:sz w:val="22"/>
          <w:szCs w:val="22"/>
          <w:lang w:val="en-GB"/>
        </w:rPr>
        <w:t xml:space="preserve"> </w:t>
      </w:r>
    </w:p>
    <w:p w14:paraId="6DC4A3C2" w14:textId="77777777" w:rsidR="008D2F54" w:rsidRPr="0003093F" w:rsidRDefault="008D2F54" w:rsidP="008D2F54">
      <w:pPr>
        <w:pStyle w:val="ListParagraph"/>
        <w:numPr>
          <w:ilvl w:val="0"/>
          <w:numId w:val="2"/>
        </w:numPr>
        <w:spacing w:line="276" w:lineRule="auto"/>
        <w:ind w:left="567" w:firstLine="0"/>
        <w:contextualSpacing w:val="0"/>
        <w:jc w:val="both"/>
        <w:outlineLvl w:val="0"/>
        <w:rPr>
          <w:rFonts w:ascii="Corbel" w:hAnsi="Corbel"/>
          <w:sz w:val="22"/>
          <w:szCs w:val="22"/>
          <w:lang w:val="en-GB"/>
        </w:rPr>
      </w:pPr>
      <w:bookmarkStart w:id="102" w:name="_Toc103506639"/>
      <w:r w:rsidRPr="0003093F">
        <w:rPr>
          <w:rFonts w:ascii="Corbel" w:hAnsi="Corbel"/>
          <w:sz w:val="22"/>
          <w:szCs w:val="22"/>
          <w:lang w:val="en-GB"/>
        </w:rPr>
        <w:t xml:space="preserve">Three studies </w:t>
      </w:r>
      <w:r>
        <w:rPr>
          <w:rFonts w:ascii="Corbel" w:hAnsi="Corbel"/>
          <w:sz w:val="22"/>
          <w:szCs w:val="22"/>
          <w:lang w:val="en-GB"/>
        </w:rPr>
        <w:t xml:space="preserve">applied </w:t>
      </w:r>
      <w:r w:rsidRPr="0003093F">
        <w:rPr>
          <w:rFonts w:ascii="Corbel" w:hAnsi="Corbel"/>
          <w:sz w:val="22"/>
          <w:szCs w:val="22"/>
          <w:lang w:val="en-GB"/>
        </w:rPr>
        <w:t xml:space="preserve">the </w:t>
      </w:r>
      <w:r w:rsidRPr="0003093F">
        <w:rPr>
          <w:rFonts w:ascii="Corbel" w:hAnsi="Corbel"/>
          <w:sz w:val="22"/>
          <w:szCs w:val="22"/>
          <w:lang w:val="en-US"/>
        </w:rPr>
        <w:t>Global Trade Analysis Project</w:t>
      </w:r>
      <w:r w:rsidRPr="0003093F">
        <w:rPr>
          <w:rFonts w:ascii="Corbel" w:hAnsi="Corbel"/>
          <w:sz w:val="22"/>
          <w:szCs w:val="22"/>
          <w:lang w:val="en-GB"/>
        </w:rPr>
        <w:t xml:space="preserve"> (GTAP) model </w:t>
      </w:r>
      <w:r>
        <w:rPr>
          <w:rFonts w:ascii="Corbel" w:hAnsi="Corbel"/>
          <w:sz w:val="22"/>
          <w:szCs w:val="22"/>
          <w:lang w:val="en-GB"/>
        </w:rPr>
        <w:t>to analyse</w:t>
      </w:r>
      <w:r w:rsidRPr="0003093F">
        <w:rPr>
          <w:rFonts w:ascii="Corbel" w:hAnsi="Corbel"/>
          <w:sz w:val="22"/>
          <w:szCs w:val="22"/>
          <w:lang w:val="en-GB"/>
        </w:rPr>
        <w:t xml:space="preserve"> the</w:t>
      </w:r>
      <w:r>
        <w:rPr>
          <w:rFonts w:ascii="Corbel" w:hAnsi="Corbel"/>
          <w:sz w:val="22"/>
          <w:szCs w:val="22"/>
          <w:lang w:val="en-GB"/>
        </w:rPr>
        <w:t xml:space="preserve"> ACU</w:t>
      </w:r>
      <w:r w:rsidRPr="0003093F">
        <w:rPr>
          <w:rFonts w:ascii="Corbel" w:hAnsi="Corbel"/>
          <w:sz w:val="22"/>
          <w:szCs w:val="22"/>
          <w:lang w:val="en-GB"/>
        </w:rPr>
        <w:t xml:space="preserve"> implication</w:t>
      </w:r>
      <w:r>
        <w:rPr>
          <w:rFonts w:ascii="Corbel" w:hAnsi="Corbel"/>
          <w:sz w:val="22"/>
          <w:szCs w:val="22"/>
          <w:lang w:val="en-GB"/>
        </w:rPr>
        <w:t>s</w:t>
      </w:r>
      <w:r w:rsidRPr="0003093F">
        <w:rPr>
          <w:rFonts w:ascii="Corbel" w:hAnsi="Corbel"/>
          <w:sz w:val="22"/>
          <w:szCs w:val="22"/>
          <w:lang w:val="en-GB"/>
        </w:rPr>
        <w:t xml:space="preserve"> for industrial policies</w:t>
      </w:r>
      <w:r>
        <w:rPr>
          <w:rFonts w:ascii="Corbel" w:hAnsi="Corbel"/>
          <w:sz w:val="22"/>
          <w:szCs w:val="22"/>
          <w:lang w:val="en-GB"/>
        </w:rPr>
        <w:t>,</w:t>
      </w:r>
      <w:r w:rsidRPr="0003093F">
        <w:rPr>
          <w:rFonts w:ascii="Corbel" w:hAnsi="Corbel"/>
          <w:sz w:val="22"/>
          <w:szCs w:val="22"/>
          <w:lang w:val="en-GB"/>
        </w:rPr>
        <w:t xml:space="preserve"> protection of domestic industries, </w:t>
      </w:r>
      <w:r>
        <w:rPr>
          <w:rFonts w:ascii="Corbel" w:hAnsi="Corbel"/>
          <w:sz w:val="22"/>
          <w:szCs w:val="22"/>
          <w:lang w:val="en-GB"/>
        </w:rPr>
        <w:t xml:space="preserve">and </w:t>
      </w:r>
      <w:r w:rsidRPr="0003093F">
        <w:rPr>
          <w:rFonts w:ascii="Corbel" w:hAnsi="Corbel"/>
          <w:sz w:val="22"/>
          <w:szCs w:val="22"/>
          <w:lang w:val="en-GB"/>
        </w:rPr>
        <w:t xml:space="preserve">promotion of infant industries </w:t>
      </w:r>
      <w:r>
        <w:rPr>
          <w:rFonts w:ascii="Corbel" w:hAnsi="Corbel"/>
          <w:sz w:val="22"/>
          <w:szCs w:val="22"/>
          <w:lang w:val="en-GB"/>
        </w:rPr>
        <w:t>were</w:t>
      </w:r>
      <w:r w:rsidRPr="0003093F">
        <w:rPr>
          <w:rFonts w:ascii="Corbel" w:hAnsi="Corbel"/>
          <w:sz w:val="22"/>
          <w:szCs w:val="22"/>
          <w:lang w:val="en-GB"/>
        </w:rPr>
        <w:t xml:space="preserve"> </w:t>
      </w:r>
      <w:r>
        <w:rPr>
          <w:rFonts w:ascii="Corbel" w:hAnsi="Corbel"/>
          <w:sz w:val="22"/>
          <w:szCs w:val="22"/>
          <w:lang w:val="en-GB"/>
        </w:rPr>
        <w:t>presented to members states during workshops</w:t>
      </w:r>
      <w:r w:rsidRPr="0003093F">
        <w:rPr>
          <w:rFonts w:ascii="Corbel" w:hAnsi="Corbel"/>
          <w:sz w:val="22"/>
          <w:szCs w:val="22"/>
          <w:lang w:val="en-GB"/>
        </w:rPr>
        <w:t xml:space="preserve"> </w:t>
      </w:r>
      <w:r>
        <w:rPr>
          <w:rFonts w:ascii="Corbel" w:hAnsi="Corbel"/>
          <w:sz w:val="22"/>
          <w:szCs w:val="22"/>
          <w:lang w:val="en-GB"/>
        </w:rPr>
        <w:t xml:space="preserve">in </w:t>
      </w:r>
      <w:r w:rsidRPr="0003093F">
        <w:rPr>
          <w:rFonts w:ascii="Corbel" w:hAnsi="Corbel"/>
          <w:sz w:val="22"/>
          <w:szCs w:val="22"/>
          <w:lang w:val="en-GB"/>
        </w:rPr>
        <w:t>2020 and 2021</w:t>
      </w:r>
      <w:r>
        <w:rPr>
          <w:rFonts w:ascii="Corbel" w:hAnsi="Corbel"/>
          <w:sz w:val="22"/>
          <w:szCs w:val="22"/>
          <w:lang w:val="en-GB"/>
        </w:rPr>
        <w:t>, in preparation of ACU negotiations, which are expected to take place in 2022</w:t>
      </w:r>
      <w:r w:rsidRPr="0003093F">
        <w:rPr>
          <w:rFonts w:ascii="Corbel" w:hAnsi="Corbel"/>
          <w:sz w:val="22"/>
          <w:szCs w:val="22"/>
          <w:lang w:val="en-GB"/>
        </w:rPr>
        <w:t>.</w:t>
      </w:r>
      <w:r>
        <w:rPr>
          <w:rFonts w:ascii="Corbel" w:hAnsi="Corbel"/>
          <w:sz w:val="22"/>
          <w:szCs w:val="22"/>
          <w:lang w:val="en-GB"/>
        </w:rPr>
        <w:t xml:space="preserve"> These studies covered:</w:t>
      </w:r>
      <w:bookmarkEnd w:id="102"/>
    </w:p>
    <w:p w14:paraId="2BCB2FAE" w14:textId="62E4E282" w:rsidR="008D2F54" w:rsidRPr="00533943" w:rsidRDefault="008D2F54" w:rsidP="4F6DD0A6">
      <w:pPr>
        <w:pStyle w:val="ListParagraph"/>
        <w:numPr>
          <w:ilvl w:val="1"/>
          <w:numId w:val="2"/>
        </w:numPr>
        <w:spacing w:line="276" w:lineRule="auto"/>
        <w:jc w:val="both"/>
        <w:outlineLvl w:val="0"/>
        <w:rPr>
          <w:rFonts w:ascii="Corbel" w:hAnsi="Corbel"/>
          <w:sz w:val="22"/>
          <w:szCs w:val="22"/>
          <w:lang w:val="en-GB"/>
        </w:rPr>
      </w:pPr>
      <w:bookmarkStart w:id="103" w:name="_Toc103506640"/>
      <w:r w:rsidRPr="4F6DD0A6">
        <w:rPr>
          <w:rFonts w:ascii="Corbel" w:hAnsi="Corbel"/>
          <w:sz w:val="22"/>
          <w:szCs w:val="22"/>
          <w:lang w:val="en-US"/>
        </w:rPr>
        <w:t>A</w:t>
      </w:r>
      <w:r w:rsidRPr="4F6DD0A6">
        <w:rPr>
          <w:rFonts w:ascii="Corbel" w:hAnsi="Corbel"/>
          <w:color w:val="000000" w:themeColor="text1"/>
          <w:sz w:val="22"/>
          <w:szCs w:val="22"/>
        </w:rPr>
        <w:t xml:space="preserve"> list of sensitive goods for each country </w:t>
      </w:r>
      <w:r w:rsidRPr="4F6DD0A6">
        <w:rPr>
          <w:rFonts w:ascii="Corbel" w:hAnsi="Corbel"/>
          <w:color w:val="000000" w:themeColor="text1"/>
          <w:sz w:val="22"/>
          <w:szCs w:val="22"/>
          <w:lang w:val="en-US"/>
        </w:rPr>
        <w:t xml:space="preserve">for which </w:t>
      </w:r>
      <w:r w:rsidRPr="4F6DD0A6">
        <w:rPr>
          <w:rFonts w:ascii="Corbel" w:hAnsi="Corbel"/>
          <w:color w:val="000000" w:themeColor="text1"/>
          <w:sz w:val="22"/>
          <w:szCs w:val="22"/>
        </w:rPr>
        <w:t>CET</w:t>
      </w:r>
      <w:r w:rsidRPr="4F6DD0A6">
        <w:rPr>
          <w:rFonts w:ascii="Corbel" w:hAnsi="Corbel"/>
          <w:color w:val="000000" w:themeColor="text1"/>
          <w:sz w:val="22"/>
          <w:szCs w:val="22"/>
          <w:lang w:val="en-US"/>
        </w:rPr>
        <w:t xml:space="preserve"> exemption could be requested</w:t>
      </w:r>
      <w:r w:rsidRPr="4F6DD0A6">
        <w:rPr>
          <w:rFonts w:ascii="Corbel" w:hAnsi="Corbel"/>
          <w:color w:val="000000" w:themeColor="text1"/>
          <w:sz w:val="22"/>
          <w:szCs w:val="22"/>
          <w:lang w:val="en-GB"/>
        </w:rPr>
        <w:t>.</w:t>
      </w:r>
      <w:bookmarkEnd w:id="103"/>
    </w:p>
    <w:p w14:paraId="2CF0F6C3" w14:textId="67A89308" w:rsidR="008D2F54" w:rsidRPr="00A0685F" w:rsidRDefault="008D2F54" w:rsidP="4F6DD0A6">
      <w:pPr>
        <w:pStyle w:val="ListParagraph"/>
        <w:numPr>
          <w:ilvl w:val="1"/>
          <w:numId w:val="2"/>
        </w:numPr>
        <w:spacing w:line="276" w:lineRule="auto"/>
        <w:jc w:val="both"/>
        <w:outlineLvl w:val="0"/>
        <w:rPr>
          <w:rFonts w:ascii="Corbel" w:hAnsi="Corbel"/>
          <w:sz w:val="22"/>
          <w:szCs w:val="22"/>
          <w:lang w:val="en-GB"/>
        </w:rPr>
      </w:pPr>
      <w:bookmarkStart w:id="104" w:name="_Toc103506641"/>
      <w:r w:rsidRPr="4F6DD0A6">
        <w:rPr>
          <w:rFonts w:ascii="Corbel" w:hAnsi="Corbel"/>
          <w:color w:val="000000" w:themeColor="text1"/>
          <w:sz w:val="22"/>
          <w:szCs w:val="22"/>
          <w:lang w:val="en-GB"/>
        </w:rPr>
        <w:t>A</w:t>
      </w:r>
      <w:r w:rsidRPr="4F6DD0A6">
        <w:rPr>
          <w:rFonts w:ascii="Corbel" w:hAnsi="Corbel"/>
          <w:color w:val="000000" w:themeColor="text1"/>
          <w:sz w:val="22"/>
          <w:szCs w:val="22"/>
        </w:rPr>
        <w:t xml:space="preserve"> study o</w:t>
      </w:r>
      <w:r w:rsidRPr="4F6DD0A6">
        <w:rPr>
          <w:rFonts w:ascii="Corbel" w:hAnsi="Corbel"/>
          <w:color w:val="000000" w:themeColor="text1"/>
          <w:sz w:val="22"/>
          <w:szCs w:val="22"/>
          <w:lang w:val="en-GB"/>
        </w:rPr>
        <w:t>n</w:t>
      </w:r>
      <w:r w:rsidRPr="4F6DD0A6">
        <w:rPr>
          <w:rFonts w:ascii="Corbel" w:hAnsi="Corbel"/>
          <w:color w:val="000000" w:themeColor="text1"/>
          <w:sz w:val="22"/>
          <w:szCs w:val="22"/>
        </w:rPr>
        <w:t xml:space="preserve"> supporting the domestic industry</w:t>
      </w:r>
      <w:r w:rsidR="00FF7CED">
        <w:rPr>
          <w:rFonts w:ascii="Corbel" w:hAnsi="Corbel"/>
          <w:color w:val="000000" w:themeColor="text1"/>
          <w:sz w:val="22"/>
          <w:szCs w:val="22"/>
          <w:lang w:val="en-US"/>
        </w:rPr>
        <w:t>,</w:t>
      </w:r>
      <w:r w:rsidRPr="4F6DD0A6">
        <w:rPr>
          <w:rFonts w:ascii="Corbel" w:hAnsi="Corbel"/>
          <w:color w:val="000000" w:themeColor="text1"/>
          <w:sz w:val="22"/>
          <w:szCs w:val="22"/>
        </w:rPr>
        <w:t xml:space="preserve"> which </w:t>
      </w:r>
      <w:proofErr w:type="gramStart"/>
      <w:r w:rsidRPr="4F6DD0A6">
        <w:rPr>
          <w:rFonts w:ascii="Corbel" w:hAnsi="Corbel"/>
          <w:color w:val="000000" w:themeColor="text1"/>
          <w:sz w:val="22"/>
          <w:szCs w:val="22"/>
          <w:lang w:val="en-GB"/>
        </w:rPr>
        <w:t xml:space="preserve">looks </w:t>
      </w:r>
      <w:r w:rsidRPr="4F6DD0A6">
        <w:rPr>
          <w:rFonts w:ascii="Corbel" w:hAnsi="Corbel"/>
          <w:color w:val="000000" w:themeColor="text1"/>
          <w:sz w:val="22"/>
          <w:szCs w:val="22"/>
        </w:rPr>
        <w:t>into</w:t>
      </w:r>
      <w:proofErr w:type="gramEnd"/>
      <w:r w:rsidRPr="4F6DD0A6">
        <w:rPr>
          <w:rFonts w:ascii="Corbel" w:hAnsi="Corbel"/>
          <w:color w:val="000000" w:themeColor="text1"/>
          <w:sz w:val="22"/>
          <w:szCs w:val="22"/>
        </w:rPr>
        <w:t xml:space="preserve"> the reduction of non-tariff measures (NTMs) related to trade and investment.</w:t>
      </w:r>
      <w:bookmarkEnd w:id="104"/>
      <w:r w:rsidRPr="4F6DD0A6">
        <w:rPr>
          <w:rFonts w:ascii="Corbel" w:hAnsi="Corbel"/>
          <w:color w:val="000000" w:themeColor="text1"/>
          <w:sz w:val="22"/>
          <w:szCs w:val="22"/>
        </w:rPr>
        <w:t xml:space="preserve"> </w:t>
      </w:r>
    </w:p>
    <w:p w14:paraId="3337546F" w14:textId="64BB4DE2" w:rsidR="008D2F54" w:rsidRPr="00054052" w:rsidRDefault="00C95FE2" w:rsidP="4F6DD0A6">
      <w:pPr>
        <w:pStyle w:val="ListParagraph"/>
        <w:numPr>
          <w:ilvl w:val="1"/>
          <w:numId w:val="2"/>
        </w:numPr>
        <w:spacing w:line="276" w:lineRule="auto"/>
        <w:jc w:val="both"/>
        <w:outlineLvl w:val="0"/>
        <w:rPr>
          <w:rFonts w:ascii="Corbel" w:hAnsi="Corbel"/>
          <w:sz w:val="22"/>
          <w:szCs w:val="22"/>
          <w:lang w:val="en-GB"/>
        </w:rPr>
      </w:pPr>
      <w:bookmarkStart w:id="105" w:name="_Toc103506642"/>
      <w:r w:rsidRPr="4F6DD0A6">
        <w:rPr>
          <w:rFonts w:ascii="Corbel" w:hAnsi="Corbel"/>
          <w:color w:val="000000" w:themeColor="text1"/>
          <w:sz w:val="22"/>
          <w:szCs w:val="22"/>
          <w:lang w:val="en-GB"/>
        </w:rPr>
        <w:t>F</w:t>
      </w:r>
      <w:r w:rsidR="008D2F54" w:rsidRPr="4F6DD0A6">
        <w:rPr>
          <w:rFonts w:ascii="Corbel" w:hAnsi="Corbel"/>
          <w:color w:val="000000" w:themeColor="text1"/>
          <w:sz w:val="22"/>
          <w:szCs w:val="22"/>
          <w:lang w:val="en-GB"/>
        </w:rPr>
        <w:t xml:space="preserve">lexibility </w:t>
      </w:r>
      <w:r w:rsidRPr="4F6DD0A6">
        <w:rPr>
          <w:rFonts w:ascii="Corbel" w:hAnsi="Corbel"/>
          <w:color w:val="000000" w:themeColor="text1"/>
          <w:sz w:val="22"/>
          <w:szCs w:val="22"/>
          <w:lang w:val="en-GB"/>
        </w:rPr>
        <w:t>options in the</w:t>
      </w:r>
      <w:r w:rsidR="008D2F54" w:rsidRPr="4F6DD0A6">
        <w:rPr>
          <w:rFonts w:ascii="Corbel" w:hAnsi="Corbel"/>
          <w:color w:val="000000" w:themeColor="text1"/>
          <w:sz w:val="22"/>
          <w:szCs w:val="22"/>
          <w:lang w:val="en-GB"/>
        </w:rPr>
        <w:t xml:space="preserve"> ACU implementation </w:t>
      </w:r>
      <w:r w:rsidRPr="4F6DD0A6">
        <w:rPr>
          <w:rFonts w:ascii="Corbel" w:hAnsi="Corbel"/>
          <w:color w:val="000000" w:themeColor="text1"/>
          <w:sz w:val="22"/>
          <w:szCs w:val="22"/>
          <w:lang w:val="en-GB"/>
        </w:rPr>
        <w:t>for</w:t>
      </w:r>
      <w:r w:rsidR="008D2F54" w:rsidRPr="4F6DD0A6">
        <w:rPr>
          <w:rFonts w:ascii="Corbel" w:hAnsi="Corbel"/>
          <w:color w:val="000000" w:themeColor="text1"/>
          <w:sz w:val="22"/>
          <w:szCs w:val="22"/>
          <w:lang w:val="en-GB"/>
        </w:rPr>
        <w:t xml:space="preserve"> gran</w:t>
      </w:r>
      <w:r w:rsidRPr="4F6DD0A6">
        <w:rPr>
          <w:rFonts w:ascii="Corbel" w:hAnsi="Corbel"/>
          <w:color w:val="000000" w:themeColor="text1"/>
          <w:sz w:val="22"/>
          <w:szCs w:val="22"/>
          <w:lang w:val="en-GB"/>
        </w:rPr>
        <w:t>t</w:t>
      </w:r>
      <w:r w:rsidR="008D2F54" w:rsidRPr="4F6DD0A6">
        <w:rPr>
          <w:rFonts w:ascii="Corbel" w:hAnsi="Corbel"/>
          <w:color w:val="000000" w:themeColor="text1"/>
          <w:sz w:val="22"/>
          <w:szCs w:val="22"/>
          <w:lang w:val="en-GB"/>
        </w:rPr>
        <w:t>ing</w:t>
      </w:r>
      <w:r w:rsidR="008D2F54" w:rsidRPr="4F6DD0A6">
        <w:rPr>
          <w:rFonts w:ascii="Corbel" w:hAnsi="Corbel"/>
          <w:color w:val="000000" w:themeColor="text1"/>
          <w:sz w:val="22"/>
          <w:szCs w:val="22"/>
        </w:rPr>
        <w:t xml:space="preserve"> longer </w:t>
      </w:r>
      <w:r w:rsidR="008D2F54" w:rsidRPr="4F6DD0A6">
        <w:rPr>
          <w:rFonts w:ascii="Corbel" w:hAnsi="Corbel"/>
          <w:color w:val="000000" w:themeColor="text1"/>
          <w:sz w:val="22"/>
          <w:szCs w:val="22"/>
          <w:lang w:val="en-US"/>
        </w:rPr>
        <w:t>ad</w:t>
      </w:r>
      <w:r w:rsidR="009D2259">
        <w:rPr>
          <w:rFonts w:ascii="Corbel" w:hAnsi="Corbel"/>
          <w:color w:val="000000" w:themeColor="text1"/>
          <w:sz w:val="22"/>
          <w:szCs w:val="22"/>
          <w:lang w:val="en-US"/>
        </w:rPr>
        <w:t>o</w:t>
      </w:r>
      <w:r w:rsidR="008D2F54" w:rsidRPr="4F6DD0A6">
        <w:rPr>
          <w:rFonts w:ascii="Corbel" w:hAnsi="Corbel"/>
          <w:color w:val="000000" w:themeColor="text1"/>
          <w:sz w:val="22"/>
          <w:szCs w:val="22"/>
          <w:lang w:val="en-US"/>
        </w:rPr>
        <w:t>ption</w:t>
      </w:r>
      <w:r w:rsidR="008D2F54" w:rsidRPr="4F6DD0A6">
        <w:rPr>
          <w:rFonts w:ascii="Corbel" w:hAnsi="Corbel"/>
          <w:color w:val="000000" w:themeColor="text1"/>
          <w:sz w:val="22"/>
          <w:szCs w:val="22"/>
        </w:rPr>
        <w:t xml:space="preserve"> periods</w:t>
      </w:r>
      <w:r w:rsidR="008D2F54" w:rsidRPr="4F6DD0A6">
        <w:rPr>
          <w:rFonts w:ascii="Corbel" w:hAnsi="Corbel"/>
          <w:color w:val="000000" w:themeColor="text1"/>
          <w:sz w:val="22"/>
          <w:szCs w:val="22"/>
          <w:lang w:val="en-GB"/>
        </w:rPr>
        <w:t xml:space="preserve"> to certain countries (</w:t>
      </w:r>
      <w:r w:rsidR="00CE1AAC" w:rsidRPr="4F6DD0A6">
        <w:rPr>
          <w:rFonts w:ascii="Corbel" w:hAnsi="Corbel"/>
          <w:color w:val="000000" w:themeColor="text1"/>
          <w:sz w:val="22"/>
          <w:szCs w:val="22"/>
          <w:lang w:val="en-GB"/>
        </w:rPr>
        <w:t>e.g.,</w:t>
      </w:r>
      <w:r w:rsidR="008D2F54" w:rsidRPr="4F6DD0A6">
        <w:rPr>
          <w:rFonts w:ascii="Corbel" w:hAnsi="Corbel"/>
          <w:color w:val="000000" w:themeColor="text1"/>
          <w:sz w:val="22"/>
          <w:szCs w:val="22"/>
          <w:lang w:val="en-GB"/>
        </w:rPr>
        <w:t xml:space="preserve"> least developed countries) and sectors (</w:t>
      </w:r>
      <w:r w:rsidR="00CE1AAC" w:rsidRPr="4F6DD0A6">
        <w:rPr>
          <w:rFonts w:ascii="Corbel" w:hAnsi="Corbel"/>
          <w:color w:val="000000" w:themeColor="text1"/>
          <w:sz w:val="22"/>
          <w:szCs w:val="22"/>
          <w:lang w:val="en-GB"/>
        </w:rPr>
        <w:t>e.g.,</w:t>
      </w:r>
      <w:r w:rsidR="008D2F54" w:rsidRPr="4F6DD0A6">
        <w:rPr>
          <w:rFonts w:ascii="Corbel" w:hAnsi="Corbel"/>
          <w:color w:val="000000" w:themeColor="text1"/>
          <w:sz w:val="22"/>
          <w:szCs w:val="22"/>
          <w:lang w:val="en-GB"/>
        </w:rPr>
        <w:t xml:space="preserve"> agriculture) countries</w:t>
      </w:r>
      <w:r w:rsidR="008D2F54" w:rsidRPr="4F6DD0A6">
        <w:rPr>
          <w:rFonts w:ascii="Corbel" w:hAnsi="Corbel"/>
          <w:color w:val="000000" w:themeColor="text1"/>
          <w:sz w:val="22"/>
          <w:szCs w:val="22"/>
        </w:rPr>
        <w:t>.</w:t>
      </w:r>
      <w:bookmarkEnd w:id="105"/>
    </w:p>
    <w:p w14:paraId="6CAEE5A3" w14:textId="77777777" w:rsidR="008D2F54" w:rsidRPr="00054052" w:rsidRDefault="008D2F54" w:rsidP="000168EC">
      <w:pPr>
        <w:pStyle w:val="ListParagraph"/>
        <w:numPr>
          <w:ilvl w:val="0"/>
          <w:numId w:val="11"/>
        </w:numPr>
        <w:spacing w:line="276" w:lineRule="auto"/>
        <w:jc w:val="both"/>
        <w:outlineLvl w:val="0"/>
        <w:rPr>
          <w:rFonts w:ascii="Corbel" w:hAnsi="Corbel"/>
          <w:b/>
          <w:bCs/>
          <w:sz w:val="22"/>
          <w:szCs w:val="22"/>
          <w:lang w:val="en-GB"/>
        </w:rPr>
      </w:pPr>
      <w:bookmarkStart w:id="106" w:name="_Toc103506643"/>
      <w:r w:rsidRPr="00AB3D20">
        <w:rPr>
          <w:rFonts w:ascii="Corbel" w:hAnsi="Corbel"/>
          <w:sz w:val="22"/>
          <w:szCs w:val="22"/>
          <w:lang w:val="en-GB"/>
        </w:rPr>
        <w:t xml:space="preserve">The </w:t>
      </w:r>
      <w:r>
        <w:rPr>
          <w:rFonts w:ascii="Corbel" w:hAnsi="Corbel"/>
          <w:sz w:val="22"/>
          <w:szCs w:val="22"/>
          <w:lang w:val="en-GB"/>
        </w:rPr>
        <w:t>T</w:t>
      </w:r>
      <w:r w:rsidRPr="00AB3D20">
        <w:rPr>
          <w:rFonts w:ascii="Corbel" w:hAnsi="Corbel"/>
          <w:sz w:val="22"/>
          <w:szCs w:val="22"/>
          <w:lang w:val="en-GB"/>
        </w:rPr>
        <w:t xml:space="preserve">echnical Committee of Customs Procedures </w:t>
      </w:r>
      <w:r>
        <w:rPr>
          <w:rFonts w:ascii="Corbel" w:hAnsi="Corbel"/>
          <w:sz w:val="22"/>
          <w:szCs w:val="22"/>
          <w:lang w:val="en-GB"/>
        </w:rPr>
        <w:t>started to discuss the</w:t>
      </w:r>
      <w:r w:rsidRPr="00AB3D20">
        <w:rPr>
          <w:rFonts w:ascii="Corbel" w:hAnsi="Corbel"/>
          <w:sz w:val="22"/>
          <w:szCs w:val="22"/>
          <w:lang w:val="en-GB"/>
        </w:rPr>
        <w:t xml:space="preserve"> readiness of the customs clearance infrastructure for operati</w:t>
      </w:r>
      <w:r>
        <w:rPr>
          <w:rFonts w:ascii="Corbel" w:hAnsi="Corbel"/>
          <w:sz w:val="22"/>
          <w:szCs w:val="22"/>
          <w:lang w:val="en-GB"/>
        </w:rPr>
        <w:t>ng</w:t>
      </w:r>
      <w:r w:rsidRPr="00AB3D20">
        <w:rPr>
          <w:rFonts w:ascii="Corbel" w:hAnsi="Corbel"/>
          <w:sz w:val="22"/>
          <w:szCs w:val="22"/>
          <w:lang w:val="en-GB"/>
        </w:rPr>
        <w:t xml:space="preserve"> within </w:t>
      </w:r>
      <w:r>
        <w:rPr>
          <w:rFonts w:ascii="Corbel" w:hAnsi="Corbel"/>
          <w:sz w:val="22"/>
          <w:szCs w:val="22"/>
          <w:lang w:val="en-GB"/>
        </w:rPr>
        <w:t xml:space="preserve">the </w:t>
      </w:r>
      <w:r w:rsidRPr="00AB3D20">
        <w:rPr>
          <w:rFonts w:ascii="Corbel" w:hAnsi="Corbel"/>
          <w:sz w:val="22"/>
          <w:szCs w:val="22"/>
          <w:lang w:val="en-GB"/>
        </w:rPr>
        <w:t>Customs Union.</w:t>
      </w:r>
      <w:bookmarkEnd w:id="106"/>
      <w:r w:rsidRPr="00AB3D20">
        <w:rPr>
          <w:rFonts w:ascii="Corbel" w:hAnsi="Corbel"/>
          <w:sz w:val="22"/>
          <w:szCs w:val="22"/>
          <w:lang w:val="en-GB"/>
        </w:rPr>
        <w:t xml:space="preserve"> </w:t>
      </w:r>
    </w:p>
    <w:p w14:paraId="0CAC8AB7" w14:textId="77777777" w:rsidR="008D2F54" w:rsidRPr="0003093F" w:rsidRDefault="008D2F54" w:rsidP="008D2F54">
      <w:pPr>
        <w:pStyle w:val="ListParagraph"/>
        <w:spacing w:line="276" w:lineRule="auto"/>
        <w:ind w:left="567"/>
        <w:contextualSpacing w:val="0"/>
        <w:jc w:val="both"/>
        <w:outlineLvl w:val="0"/>
      </w:pPr>
    </w:p>
    <w:p w14:paraId="5252428E" w14:textId="77777777" w:rsidR="008D2F54" w:rsidRPr="000C2EC7" w:rsidRDefault="008D2F54" w:rsidP="008D2F54">
      <w:pPr>
        <w:pStyle w:val="ListParagraph"/>
        <w:spacing w:line="276" w:lineRule="auto"/>
        <w:ind w:left="0"/>
        <w:contextualSpacing w:val="0"/>
        <w:rPr>
          <w:rFonts w:ascii="Corbel" w:hAnsi="Corbel"/>
          <w:i/>
          <w:iCs/>
          <w:sz w:val="22"/>
          <w:szCs w:val="22"/>
          <w:lang w:val="en-GB"/>
        </w:rPr>
      </w:pPr>
      <w:r w:rsidRPr="000C2EC7">
        <w:rPr>
          <w:rFonts w:ascii="Corbel" w:hAnsi="Corbel"/>
          <w:b/>
          <w:bCs/>
          <w:i/>
          <w:iCs/>
          <w:sz w:val="22"/>
          <w:szCs w:val="22"/>
          <w:lang w:val="en-GB"/>
        </w:rPr>
        <w:t>On PAFTA governance framework</w:t>
      </w:r>
    </w:p>
    <w:p w14:paraId="38D024A4" w14:textId="77777777" w:rsidR="008D2F54" w:rsidRDefault="008D2F54" w:rsidP="000168EC">
      <w:pPr>
        <w:pStyle w:val="ListParagraph"/>
        <w:numPr>
          <w:ilvl w:val="0"/>
          <w:numId w:val="14"/>
        </w:numPr>
        <w:spacing w:line="276" w:lineRule="auto"/>
        <w:ind w:hanging="153"/>
        <w:contextualSpacing w:val="0"/>
        <w:rPr>
          <w:rFonts w:ascii="Corbel" w:hAnsi="Corbel"/>
          <w:sz w:val="22"/>
          <w:szCs w:val="22"/>
          <w:lang w:val="en-GB"/>
        </w:rPr>
      </w:pPr>
      <w:r>
        <w:rPr>
          <w:rFonts w:ascii="Corbel" w:hAnsi="Corbel"/>
          <w:sz w:val="22"/>
          <w:szCs w:val="22"/>
          <w:lang w:val="en-GB"/>
        </w:rPr>
        <w:t>Member states</w:t>
      </w:r>
      <w:r w:rsidRPr="0003093F">
        <w:rPr>
          <w:rFonts w:ascii="Corbel" w:hAnsi="Corbel"/>
          <w:sz w:val="22"/>
          <w:szCs w:val="22"/>
          <w:lang w:val="en-GB"/>
        </w:rPr>
        <w:t xml:space="preserve"> adopt</w:t>
      </w:r>
      <w:r>
        <w:rPr>
          <w:rFonts w:ascii="Corbel" w:hAnsi="Corbel"/>
          <w:sz w:val="22"/>
          <w:szCs w:val="22"/>
          <w:lang w:val="en-GB"/>
        </w:rPr>
        <w:t>ed</w:t>
      </w:r>
      <w:r w:rsidRPr="0003093F">
        <w:rPr>
          <w:rFonts w:ascii="Corbel" w:hAnsi="Corbel"/>
          <w:sz w:val="22"/>
          <w:szCs w:val="22"/>
          <w:lang w:val="en-GB"/>
        </w:rPr>
        <w:t xml:space="preserve"> the governance mechanisms </w:t>
      </w:r>
      <w:r>
        <w:rPr>
          <w:rFonts w:ascii="Corbel" w:hAnsi="Corbel"/>
          <w:sz w:val="22"/>
          <w:szCs w:val="22"/>
          <w:lang w:val="en-GB"/>
        </w:rPr>
        <w:t>for</w:t>
      </w:r>
      <w:r w:rsidRPr="0003093F">
        <w:rPr>
          <w:rFonts w:ascii="Corbel" w:hAnsi="Corbel"/>
          <w:sz w:val="22"/>
          <w:szCs w:val="22"/>
          <w:lang w:val="en-GB"/>
        </w:rPr>
        <w:t xml:space="preserve"> the draft Protocol on Trade Facilitation</w:t>
      </w:r>
      <w:r>
        <w:rPr>
          <w:rFonts w:ascii="Corbel" w:hAnsi="Corbel"/>
          <w:sz w:val="22"/>
          <w:szCs w:val="22"/>
          <w:lang w:val="en-GB"/>
        </w:rPr>
        <w:t xml:space="preserve"> and related institutional arrangements</w:t>
      </w:r>
      <w:r w:rsidRPr="0003093F">
        <w:rPr>
          <w:rFonts w:ascii="Corbel" w:hAnsi="Corbel"/>
          <w:sz w:val="22"/>
          <w:szCs w:val="22"/>
          <w:lang w:val="en-GB"/>
        </w:rPr>
        <w:t xml:space="preserve"> (one of </w:t>
      </w:r>
      <w:r>
        <w:rPr>
          <w:rFonts w:ascii="Corbel" w:hAnsi="Corbel"/>
          <w:sz w:val="22"/>
          <w:szCs w:val="22"/>
          <w:lang w:val="en-GB"/>
        </w:rPr>
        <w:t xml:space="preserve">the </w:t>
      </w:r>
      <w:r w:rsidRPr="0003093F">
        <w:rPr>
          <w:rFonts w:ascii="Corbel" w:hAnsi="Corbel"/>
          <w:sz w:val="22"/>
          <w:szCs w:val="22"/>
          <w:lang w:val="en-GB"/>
        </w:rPr>
        <w:t>four areas of the PAFTA upgrading).</w:t>
      </w:r>
    </w:p>
    <w:p w14:paraId="241A865D" w14:textId="31D1082E" w:rsidR="008D2F54" w:rsidRPr="0003093F" w:rsidRDefault="008D2F54" w:rsidP="000168EC">
      <w:pPr>
        <w:pStyle w:val="ListParagraph"/>
        <w:numPr>
          <w:ilvl w:val="0"/>
          <w:numId w:val="14"/>
        </w:numPr>
        <w:spacing w:line="276" w:lineRule="auto"/>
        <w:jc w:val="both"/>
        <w:outlineLvl w:val="0"/>
        <w:rPr>
          <w:rFonts w:ascii="Corbel" w:hAnsi="Corbel" w:cstheme="minorBidi"/>
          <w:sz w:val="22"/>
          <w:szCs w:val="22"/>
          <w:lang w:val="en-GB"/>
        </w:rPr>
      </w:pPr>
      <w:bookmarkStart w:id="107" w:name="_Toc103506644"/>
      <w:r w:rsidRPr="4F6DD0A6">
        <w:rPr>
          <w:rFonts w:ascii="Corbel" w:hAnsi="Corbel" w:cstheme="minorBidi"/>
          <w:sz w:val="22"/>
          <w:szCs w:val="22"/>
          <w:lang w:val="en-GB"/>
        </w:rPr>
        <w:t xml:space="preserve">An upgraded system for the notification of new trade regulations aimed at addressing the challenges and </w:t>
      </w:r>
      <w:r w:rsidR="00CE1AAC" w:rsidRPr="4F6DD0A6">
        <w:rPr>
          <w:rFonts w:ascii="Corbel" w:hAnsi="Corbel" w:cstheme="minorBidi"/>
          <w:sz w:val="22"/>
          <w:szCs w:val="22"/>
          <w:lang w:val="en-GB"/>
        </w:rPr>
        <w:t>incertitude</w:t>
      </w:r>
      <w:r w:rsidRPr="4F6DD0A6">
        <w:rPr>
          <w:rFonts w:ascii="Corbel" w:hAnsi="Corbel" w:cstheme="minorBidi"/>
          <w:sz w:val="22"/>
          <w:szCs w:val="22"/>
          <w:lang w:val="en-GB"/>
        </w:rPr>
        <w:t xml:space="preserve"> created by the pandemic, was adopted by member states in September 2020.</w:t>
      </w:r>
      <w:bookmarkEnd w:id="107"/>
    </w:p>
    <w:p w14:paraId="28A16F02" w14:textId="77777777" w:rsidR="008D2F54" w:rsidRPr="0003093F" w:rsidRDefault="008D2F54" w:rsidP="000168EC">
      <w:pPr>
        <w:pStyle w:val="ListParagraph"/>
        <w:numPr>
          <w:ilvl w:val="0"/>
          <w:numId w:val="14"/>
        </w:numPr>
        <w:spacing w:line="276" w:lineRule="auto"/>
        <w:ind w:hanging="153"/>
        <w:contextualSpacing w:val="0"/>
        <w:rPr>
          <w:rFonts w:ascii="Corbel" w:hAnsi="Corbel"/>
          <w:sz w:val="22"/>
          <w:szCs w:val="22"/>
          <w:lang w:val="en-GB"/>
        </w:rPr>
      </w:pPr>
      <w:r>
        <w:rPr>
          <w:rFonts w:ascii="Corbel" w:hAnsi="Corbel"/>
          <w:sz w:val="22"/>
          <w:szCs w:val="22"/>
          <w:lang w:val="en-GB"/>
        </w:rPr>
        <w:t>A</w:t>
      </w:r>
      <w:r w:rsidRPr="0003093F">
        <w:rPr>
          <w:rFonts w:ascii="Corbel" w:hAnsi="Corbel"/>
          <w:sz w:val="22"/>
          <w:szCs w:val="22"/>
          <w:lang w:val="en-GB"/>
        </w:rPr>
        <w:t xml:space="preserve"> proposal </w:t>
      </w:r>
      <w:r>
        <w:rPr>
          <w:rFonts w:ascii="Corbel" w:hAnsi="Corbel"/>
          <w:sz w:val="22"/>
          <w:szCs w:val="22"/>
          <w:lang w:val="en-GB"/>
        </w:rPr>
        <w:t>for</w:t>
      </w:r>
      <w:r w:rsidRPr="0003093F">
        <w:rPr>
          <w:rFonts w:ascii="Corbel" w:hAnsi="Corbel"/>
          <w:sz w:val="22"/>
          <w:szCs w:val="22"/>
          <w:lang w:val="en-GB"/>
        </w:rPr>
        <w:t xml:space="preserve"> upgrading the </w:t>
      </w:r>
      <w:r>
        <w:rPr>
          <w:rFonts w:ascii="Corbel" w:hAnsi="Corbel"/>
          <w:sz w:val="22"/>
          <w:szCs w:val="22"/>
          <w:lang w:val="en-GB"/>
        </w:rPr>
        <w:t xml:space="preserve">PAFTA </w:t>
      </w:r>
      <w:r w:rsidRPr="0003093F">
        <w:rPr>
          <w:rFonts w:ascii="Corbel" w:hAnsi="Corbel"/>
          <w:sz w:val="22"/>
          <w:szCs w:val="22"/>
          <w:lang w:val="en-GB"/>
        </w:rPr>
        <w:t xml:space="preserve">governance model </w:t>
      </w:r>
      <w:r>
        <w:rPr>
          <w:rFonts w:ascii="Corbel" w:hAnsi="Corbel"/>
          <w:sz w:val="22"/>
          <w:szCs w:val="22"/>
          <w:lang w:val="en-GB"/>
        </w:rPr>
        <w:t>for</w:t>
      </w:r>
      <w:r w:rsidRPr="0003093F">
        <w:rPr>
          <w:rFonts w:ascii="Corbel" w:hAnsi="Corbel"/>
          <w:sz w:val="22"/>
          <w:szCs w:val="22"/>
          <w:lang w:val="en-GB"/>
        </w:rPr>
        <w:t xml:space="preserve"> deepening Arab Economic Integration</w:t>
      </w:r>
      <w:r>
        <w:rPr>
          <w:rFonts w:ascii="Corbel" w:hAnsi="Corbel"/>
          <w:sz w:val="22"/>
          <w:szCs w:val="22"/>
          <w:lang w:val="en-GB"/>
        </w:rPr>
        <w:t>, including dispute settlement,</w:t>
      </w:r>
      <w:r w:rsidRPr="0003093F">
        <w:rPr>
          <w:rFonts w:ascii="Corbel" w:hAnsi="Corbel"/>
          <w:sz w:val="22"/>
          <w:szCs w:val="22"/>
          <w:lang w:val="en-GB"/>
        </w:rPr>
        <w:t xml:space="preserve"> </w:t>
      </w:r>
      <w:r>
        <w:rPr>
          <w:rFonts w:ascii="Corbel" w:hAnsi="Corbel"/>
          <w:sz w:val="22"/>
          <w:szCs w:val="22"/>
          <w:lang w:val="en-GB"/>
        </w:rPr>
        <w:t xml:space="preserve">was presented to the </w:t>
      </w:r>
      <w:r w:rsidRPr="0003093F">
        <w:rPr>
          <w:rFonts w:ascii="Corbel" w:hAnsi="Corbel"/>
          <w:sz w:val="22"/>
          <w:szCs w:val="22"/>
          <w:lang w:val="en-GB"/>
        </w:rPr>
        <w:t>LAS Economic Sector</w:t>
      </w:r>
      <w:r>
        <w:rPr>
          <w:rFonts w:ascii="Corbel" w:hAnsi="Corbel"/>
          <w:sz w:val="22"/>
          <w:szCs w:val="22"/>
          <w:lang w:val="en-GB"/>
        </w:rPr>
        <w:t xml:space="preserve"> and requires further consultation with LAS </w:t>
      </w:r>
      <w:r w:rsidRPr="0003093F">
        <w:rPr>
          <w:rFonts w:ascii="Corbel" w:hAnsi="Corbel"/>
          <w:sz w:val="22"/>
          <w:szCs w:val="22"/>
          <w:lang w:val="en-GB"/>
        </w:rPr>
        <w:t>concerned working bodies.</w:t>
      </w:r>
    </w:p>
    <w:p w14:paraId="542C75AB" w14:textId="09432432" w:rsidR="008D2F54" w:rsidRPr="00594178" w:rsidRDefault="008D2F54" w:rsidP="000168EC">
      <w:pPr>
        <w:pStyle w:val="ListParagraph"/>
        <w:numPr>
          <w:ilvl w:val="0"/>
          <w:numId w:val="14"/>
        </w:numPr>
        <w:rPr>
          <w:rFonts w:ascii="Corbel" w:hAnsi="Corbel"/>
          <w:sz w:val="22"/>
          <w:szCs w:val="22"/>
          <w:lang w:val="en-GB"/>
        </w:rPr>
      </w:pPr>
      <w:r>
        <w:rPr>
          <w:rFonts w:ascii="Corbel" w:hAnsi="Corbel"/>
          <w:sz w:val="22"/>
          <w:szCs w:val="22"/>
          <w:lang w:val="en-GB"/>
        </w:rPr>
        <w:t xml:space="preserve">The project contributed to </w:t>
      </w:r>
      <w:r w:rsidR="00A81CAB">
        <w:rPr>
          <w:rFonts w:ascii="Corbel" w:hAnsi="Corbel"/>
          <w:sz w:val="22"/>
          <w:szCs w:val="22"/>
          <w:lang w:val="en-GB"/>
        </w:rPr>
        <w:t>enhancing</w:t>
      </w:r>
      <w:r>
        <w:rPr>
          <w:rFonts w:ascii="Corbel" w:hAnsi="Corbel"/>
          <w:sz w:val="22"/>
          <w:szCs w:val="22"/>
          <w:lang w:val="en-GB"/>
        </w:rPr>
        <w:t xml:space="preserve"> </w:t>
      </w:r>
      <w:r w:rsidRPr="00594178">
        <w:rPr>
          <w:rFonts w:ascii="Corbel" w:hAnsi="Corbel"/>
          <w:sz w:val="22"/>
          <w:szCs w:val="22"/>
          <w:lang w:val="en-GB"/>
        </w:rPr>
        <w:t xml:space="preserve">LAS </w:t>
      </w:r>
      <w:r w:rsidR="00CE1AAC">
        <w:rPr>
          <w:rFonts w:ascii="Corbel" w:hAnsi="Corbel"/>
          <w:sz w:val="22"/>
          <w:szCs w:val="22"/>
          <w:lang w:val="en-GB"/>
        </w:rPr>
        <w:t>capacities</w:t>
      </w:r>
      <w:r>
        <w:rPr>
          <w:rFonts w:ascii="Corbel" w:hAnsi="Corbel"/>
          <w:sz w:val="22"/>
          <w:szCs w:val="22"/>
          <w:lang w:val="en-GB"/>
        </w:rPr>
        <w:t xml:space="preserve"> for</w:t>
      </w:r>
      <w:r w:rsidRPr="00594178">
        <w:rPr>
          <w:rFonts w:ascii="Corbel" w:hAnsi="Corbel"/>
          <w:sz w:val="22"/>
          <w:szCs w:val="22"/>
          <w:lang w:val="en-GB"/>
        </w:rPr>
        <w:t xml:space="preserve"> the </w:t>
      </w:r>
      <w:r>
        <w:rPr>
          <w:rFonts w:ascii="Corbel" w:hAnsi="Corbel"/>
          <w:sz w:val="22"/>
          <w:szCs w:val="22"/>
          <w:lang w:val="en-GB"/>
        </w:rPr>
        <w:t xml:space="preserve">systematic </w:t>
      </w:r>
      <w:r w:rsidRPr="00594178">
        <w:rPr>
          <w:rFonts w:ascii="Corbel" w:hAnsi="Corbel"/>
          <w:sz w:val="22"/>
          <w:szCs w:val="22"/>
          <w:lang w:val="en-GB"/>
        </w:rPr>
        <w:t xml:space="preserve">collection of inputs and comments </w:t>
      </w:r>
      <w:r>
        <w:rPr>
          <w:rFonts w:ascii="Corbel" w:hAnsi="Corbel"/>
          <w:sz w:val="22"/>
          <w:szCs w:val="22"/>
          <w:lang w:val="en-GB"/>
        </w:rPr>
        <w:t>to inform</w:t>
      </w:r>
      <w:r w:rsidRPr="00594178">
        <w:rPr>
          <w:rFonts w:ascii="Corbel" w:hAnsi="Corbel"/>
          <w:sz w:val="22"/>
          <w:szCs w:val="22"/>
          <w:lang w:val="en-GB"/>
        </w:rPr>
        <w:t xml:space="preserve"> technical proposals and arrange</w:t>
      </w:r>
      <w:r>
        <w:rPr>
          <w:rFonts w:ascii="Corbel" w:hAnsi="Corbel"/>
          <w:sz w:val="22"/>
          <w:szCs w:val="22"/>
          <w:lang w:val="en-GB"/>
        </w:rPr>
        <w:t xml:space="preserve"> trade facilitation</w:t>
      </w:r>
      <w:r w:rsidRPr="00594178">
        <w:rPr>
          <w:rFonts w:ascii="Corbel" w:hAnsi="Corbel"/>
          <w:sz w:val="22"/>
          <w:szCs w:val="22"/>
          <w:lang w:val="en-GB"/>
        </w:rPr>
        <w:t xml:space="preserve"> consultation</w:t>
      </w:r>
      <w:r>
        <w:rPr>
          <w:rFonts w:ascii="Corbel" w:hAnsi="Corbel"/>
          <w:sz w:val="22"/>
          <w:szCs w:val="22"/>
          <w:lang w:val="en-GB"/>
        </w:rPr>
        <w:t xml:space="preserve">s, which were </w:t>
      </w:r>
      <w:r w:rsidR="00CE1AAC">
        <w:rPr>
          <w:rFonts w:ascii="Corbel" w:hAnsi="Corbel"/>
          <w:sz w:val="22"/>
          <w:szCs w:val="22"/>
          <w:lang w:val="en-GB"/>
        </w:rPr>
        <w:t xml:space="preserve">applied </w:t>
      </w:r>
      <w:r w:rsidR="00CE1AAC" w:rsidRPr="00594178">
        <w:rPr>
          <w:rFonts w:ascii="Corbel" w:hAnsi="Corbel"/>
          <w:sz w:val="22"/>
          <w:szCs w:val="22"/>
          <w:lang w:val="en-GB"/>
        </w:rPr>
        <w:t>on</w:t>
      </w:r>
      <w:r w:rsidRPr="00594178">
        <w:rPr>
          <w:rFonts w:ascii="Corbel" w:hAnsi="Corbel"/>
          <w:sz w:val="22"/>
          <w:szCs w:val="22"/>
          <w:lang w:val="en-GB"/>
        </w:rPr>
        <w:t xml:space="preserve"> </w:t>
      </w:r>
      <w:r>
        <w:rPr>
          <w:rFonts w:ascii="Corbel" w:hAnsi="Corbel"/>
          <w:sz w:val="22"/>
          <w:szCs w:val="22"/>
          <w:lang w:val="en-GB"/>
        </w:rPr>
        <w:t xml:space="preserve">sectors such as </w:t>
      </w:r>
      <w:r w:rsidRPr="00594178">
        <w:rPr>
          <w:rFonts w:ascii="Corbel" w:hAnsi="Corbel"/>
          <w:sz w:val="22"/>
          <w:szCs w:val="22"/>
          <w:lang w:val="en-GB"/>
        </w:rPr>
        <w:t xml:space="preserve">tourism, </w:t>
      </w:r>
      <w:r>
        <w:rPr>
          <w:rFonts w:ascii="Corbel" w:hAnsi="Corbel"/>
          <w:sz w:val="22"/>
          <w:szCs w:val="22"/>
          <w:lang w:val="en-GB"/>
        </w:rPr>
        <w:t>and trade in</w:t>
      </w:r>
      <w:r w:rsidRPr="00594178">
        <w:rPr>
          <w:rFonts w:ascii="Corbel" w:hAnsi="Corbel"/>
          <w:sz w:val="22"/>
          <w:szCs w:val="22"/>
          <w:lang w:val="en-GB"/>
        </w:rPr>
        <w:t xml:space="preserve"> services.</w:t>
      </w:r>
    </w:p>
    <w:p w14:paraId="56D4ED87" w14:textId="41A9379F" w:rsidR="00E44237" w:rsidRDefault="00E44237" w:rsidP="003024F6">
      <w:pPr>
        <w:spacing w:line="276" w:lineRule="auto"/>
        <w:jc w:val="both"/>
        <w:rPr>
          <w:rFonts w:ascii="Corbel" w:eastAsiaTheme="minorHAnsi" w:hAnsi="Corbel" w:cs="Arial"/>
          <w:iCs/>
          <w:sz w:val="22"/>
          <w:szCs w:val="22"/>
          <w:lang w:val="en-GB" w:eastAsia="en-US"/>
        </w:rPr>
      </w:pPr>
    </w:p>
    <w:tbl>
      <w:tblPr>
        <w:tblW w:w="9771" w:type="dxa"/>
        <w:jc w:val="center"/>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Look w:val="04A0" w:firstRow="1" w:lastRow="0" w:firstColumn="1" w:lastColumn="0" w:noHBand="0" w:noVBand="1"/>
      </w:tblPr>
      <w:tblGrid>
        <w:gridCol w:w="2997"/>
        <w:gridCol w:w="3089"/>
        <w:gridCol w:w="3685"/>
      </w:tblGrid>
      <w:tr w:rsidR="0014085E" w:rsidRPr="0003093F" w14:paraId="342620FB" w14:textId="77777777" w:rsidTr="4F6DD0A6">
        <w:trPr>
          <w:trHeight w:val="412"/>
          <w:tblHeader/>
          <w:jc w:val="center"/>
        </w:trPr>
        <w:tc>
          <w:tcPr>
            <w:tcW w:w="9771" w:type="dxa"/>
            <w:gridSpan w:val="3"/>
            <w:shd w:val="clear" w:color="auto" w:fill="0070C0"/>
          </w:tcPr>
          <w:p w14:paraId="794055BD" w14:textId="5DD730C6" w:rsidR="0014085E" w:rsidRPr="0003093F" w:rsidRDefault="0014085E" w:rsidP="0014085E">
            <w:pPr>
              <w:rPr>
                <w:rFonts w:ascii="Corbel" w:eastAsia="Times New Roman" w:hAnsi="Corbel"/>
                <w:color w:val="000000"/>
                <w:sz w:val="21"/>
                <w:szCs w:val="21"/>
                <w:lang w:val="en-GB"/>
              </w:rPr>
            </w:pPr>
            <w:bookmarkStart w:id="108" w:name="_Hlk40633854"/>
            <w:r w:rsidRPr="0003093F">
              <w:rPr>
                <w:rFonts w:ascii="Corbel" w:hAnsi="Corbel" w:cs="Arial"/>
                <w:b/>
                <w:sz w:val="21"/>
                <w:szCs w:val="21"/>
                <w:lang w:val="en-GB" w:eastAsia="en-US"/>
              </w:rPr>
              <w:t xml:space="preserve">Project Output 1: </w:t>
            </w:r>
            <w:r w:rsidR="00BE4A38" w:rsidRPr="0003093F">
              <w:rPr>
                <w:rFonts w:ascii="Corbel" w:hAnsi="Corbel" w:cs="Arial"/>
                <w:b/>
                <w:bCs/>
                <w:sz w:val="21"/>
                <w:szCs w:val="21"/>
                <w:lang w:val="en-GB" w:eastAsia="en-US"/>
              </w:rPr>
              <w:t>Structured and targeted technical support to LAS secretariat and Arab negotiators on trade policy formulation and reform under PAFTA</w:t>
            </w:r>
          </w:p>
        </w:tc>
      </w:tr>
      <w:tr w:rsidR="0014085E" w:rsidRPr="0003093F" w14:paraId="52001F7E" w14:textId="77777777" w:rsidTr="4F6DD0A6">
        <w:trPr>
          <w:trHeight w:val="412"/>
          <w:tblHeader/>
          <w:jc w:val="center"/>
        </w:trPr>
        <w:tc>
          <w:tcPr>
            <w:tcW w:w="2997" w:type="dxa"/>
            <w:shd w:val="clear" w:color="auto" w:fill="auto"/>
          </w:tcPr>
          <w:p w14:paraId="71B311D0" w14:textId="4C02AC5F" w:rsidR="0014085E" w:rsidRPr="0003093F" w:rsidRDefault="0014085E" w:rsidP="00112082">
            <w:pPr>
              <w:widowControl w:val="0"/>
              <w:spacing w:line="288" w:lineRule="auto"/>
              <w:ind w:left="99"/>
              <w:contextualSpacing/>
              <w:outlineLvl w:val="0"/>
              <w:rPr>
                <w:rFonts w:ascii="Corbel" w:eastAsia="Times New Roman" w:hAnsi="Corbel" w:cs="Arial"/>
                <w:b/>
                <w:sz w:val="21"/>
                <w:szCs w:val="21"/>
                <w:lang w:val="en-GB" w:eastAsia="en-US"/>
              </w:rPr>
            </w:pPr>
            <w:bookmarkStart w:id="109" w:name="_Toc103506645"/>
            <w:r w:rsidRPr="0003093F">
              <w:rPr>
                <w:rFonts w:ascii="Corbel" w:eastAsia="Times New Roman" w:hAnsi="Corbel" w:cs="Arial"/>
                <w:b/>
                <w:sz w:val="21"/>
                <w:szCs w:val="21"/>
                <w:lang w:val="en-GB" w:eastAsia="en-US"/>
              </w:rPr>
              <w:t>Output indicators</w:t>
            </w:r>
            <w:r w:rsidR="00223334" w:rsidRPr="0003093F">
              <w:rPr>
                <w:rStyle w:val="FootnoteReference"/>
                <w:rFonts w:ascii="Corbel" w:eastAsia="Times New Roman" w:hAnsi="Corbel" w:cs="Arial"/>
                <w:b/>
                <w:sz w:val="21"/>
                <w:szCs w:val="21"/>
                <w:lang w:val="en-GB" w:eastAsia="en-US"/>
              </w:rPr>
              <w:footnoteReference w:id="28"/>
            </w:r>
            <w:bookmarkEnd w:id="109"/>
          </w:p>
        </w:tc>
        <w:tc>
          <w:tcPr>
            <w:tcW w:w="3089" w:type="dxa"/>
            <w:shd w:val="clear" w:color="auto" w:fill="auto"/>
          </w:tcPr>
          <w:p w14:paraId="7DBF5DB5" w14:textId="5633D8B5" w:rsidR="0014085E" w:rsidRPr="0003093F" w:rsidRDefault="006946D9" w:rsidP="0014085E">
            <w:pPr>
              <w:widowControl w:val="0"/>
              <w:spacing w:line="288" w:lineRule="auto"/>
              <w:ind w:left="99"/>
              <w:contextualSpacing/>
              <w:outlineLvl w:val="0"/>
              <w:rPr>
                <w:rFonts w:ascii="Corbel" w:eastAsia="Times New Roman" w:hAnsi="Corbel" w:cs="Arial"/>
                <w:b/>
                <w:sz w:val="21"/>
                <w:szCs w:val="21"/>
                <w:lang w:val="en-GB" w:eastAsia="en-US"/>
              </w:rPr>
            </w:pPr>
            <w:bookmarkStart w:id="110" w:name="_Toc103506646"/>
            <w:r w:rsidRPr="0003093F">
              <w:rPr>
                <w:rFonts w:ascii="Corbel" w:eastAsia="Times New Roman" w:hAnsi="Corbel" w:cs="Arial"/>
                <w:b/>
                <w:sz w:val="21"/>
                <w:szCs w:val="21"/>
                <w:lang w:val="en-GB" w:eastAsia="en-US"/>
              </w:rPr>
              <w:t xml:space="preserve">Baselines &amp; </w:t>
            </w:r>
            <w:r w:rsidR="0014085E" w:rsidRPr="0003093F">
              <w:rPr>
                <w:rFonts w:ascii="Corbel" w:eastAsia="Times New Roman" w:hAnsi="Corbel" w:cs="Arial"/>
                <w:b/>
                <w:sz w:val="21"/>
                <w:szCs w:val="21"/>
                <w:lang w:val="en-GB" w:eastAsia="en-US"/>
              </w:rPr>
              <w:t>Targets</w:t>
            </w:r>
            <w:bookmarkEnd w:id="110"/>
            <w:r w:rsidR="0014085E" w:rsidRPr="0003093F">
              <w:rPr>
                <w:rFonts w:ascii="Corbel" w:eastAsia="Times New Roman" w:hAnsi="Corbel" w:cs="Arial"/>
                <w:b/>
                <w:sz w:val="21"/>
                <w:szCs w:val="21"/>
                <w:lang w:val="en-GB" w:eastAsia="en-US"/>
              </w:rPr>
              <w:t xml:space="preserve"> </w:t>
            </w:r>
          </w:p>
        </w:tc>
        <w:tc>
          <w:tcPr>
            <w:tcW w:w="3685" w:type="dxa"/>
            <w:shd w:val="clear" w:color="auto" w:fill="auto"/>
          </w:tcPr>
          <w:p w14:paraId="317AE06A" w14:textId="77777777" w:rsidR="0014085E" w:rsidRPr="0003093F" w:rsidRDefault="0014085E" w:rsidP="0014085E">
            <w:pPr>
              <w:widowControl w:val="0"/>
              <w:spacing w:line="288" w:lineRule="auto"/>
              <w:ind w:left="99"/>
              <w:contextualSpacing/>
              <w:outlineLvl w:val="0"/>
              <w:rPr>
                <w:rFonts w:ascii="Corbel" w:eastAsia="Times New Roman" w:hAnsi="Corbel" w:cs="Arial"/>
                <w:b/>
                <w:sz w:val="21"/>
                <w:szCs w:val="21"/>
                <w:lang w:val="en-GB" w:eastAsia="en-US"/>
              </w:rPr>
            </w:pPr>
            <w:bookmarkStart w:id="111" w:name="_Toc103506647"/>
            <w:r w:rsidRPr="0003093F">
              <w:rPr>
                <w:rFonts w:ascii="Corbel" w:eastAsia="Times New Roman" w:hAnsi="Corbel" w:cs="Arial"/>
                <w:b/>
                <w:sz w:val="21"/>
                <w:szCs w:val="21"/>
                <w:lang w:val="en-GB" w:eastAsia="en-US"/>
              </w:rPr>
              <w:t>Progress against targets</w:t>
            </w:r>
            <w:bookmarkEnd w:id="111"/>
          </w:p>
        </w:tc>
      </w:tr>
      <w:tr w:rsidR="0014085E" w:rsidRPr="0003093F" w14:paraId="1C82A36D" w14:textId="77777777" w:rsidTr="4F6DD0A6">
        <w:trPr>
          <w:trHeight w:val="412"/>
          <w:jc w:val="center"/>
        </w:trPr>
        <w:tc>
          <w:tcPr>
            <w:tcW w:w="2997" w:type="dxa"/>
            <w:shd w:val="clear" w:color="auto" w:fill="auto"/>
          </w:tcPr>
          <w:p w14:paraId="3002CECB" w14:textId="11230FF1" w:rsidR="00D643CB" w:rsidRPr="0003093F" w:rsidRDefault="00D643CB" w:rsidP="00E773A8">
            <w:pPr>
              <w:spacing w:before="120" w:line="260" w:lineRule="exact"/>
              <w:jc w:val="both"/>
              <w:rPr>
                <w:rFonts w:ascii="Corbel" w:hAnsi="Corbel" w:cstheme="minorHAnsi"/>
                <w:sz w:val="20"/>
                <w:szCs w:val="20"/>
                <w:lang w:val="en-GB"/>
              </w:rPr>
            </w:pPr>
            <w:r w:rsidRPr="0003093F">
              <w:rPr>
                <w:rFonts w:ascii="Corbel" w:hAnsi="Corbel" w:cstheme="minorHAnsi"/>
                <w:sz w:val="20"/>
                <w:szCs w:val="20"/>
                <w:u w:val="single"/>
                <w:lang w:val="en-GB"/>
              </w:rPr>
              <w:t>Indicator 1.1</w:t>
            </w:r>
            <w:r w:rsidRPr="0003093F">
              <w:rPr>
                <w:rFonts w:ascii="Corbel" w:hAnsi="Corbel" w:cstheme="minorHAnsi"/>
                <w:sz w:val="20"/>
                <w:szCs w:val="20"/>
                <w:lang w:val="en-GB"/>
              </w:rPr>
              <w:t xml:space="preserve">: </w:t>
            </w:r>
            <w:r w:rsidR="004B1DD2" w:rsidRPr="0003093F">
              <w:rPr>
                <w:rFonts w:ascii="Corbel" w:hAnsi="Corbel" w:cstheme="minorHAnsi"/>
                <w:sz w:val="20"/>
                <w:szCs w:val="20"/>
                <w:lang w:val="en-GB"/>
              </w:rPr>
              <w:t>P</w:t>
            </w:r>
            <w:r w:rsidRPr="0003093F">
              <w:rPr>
                <w:rFonts w:ascii="Corbel" w:hAnsi="Corbel" w:cstheme="minorHAnsi"/>
                <w:sz w:val="20"/>
                <w:szCs w:val="20"/>
                <w:lang w:val="en-GB"/>
              </w:rPr>
              <w:t>ace of PAFTA implementation</w:t>
            </w:r>
          </w:p>
          <w:p w14:paraId="61164FDD" w14:textId="64BD75CC" w:rsidR="00D643CB" w:rsidRPr="0003093F" w:rsidRDefault="00D643CB" w:rsidP="00E773A8">
            <w:pPr>
              <w:widowControl w:val="0"/>
              <w:spacing w:before="120" w:line="260" w:lineRule="exact"/>
              <w:outlineLvl w:val="0"/>
              <w:rPr>
                <w:rFonts w:ascii="Corbel" w:eastAsia="Times New Roman" w:hAnsi="Corbel"/>
                <w:bCs/>
                <w:color w:val="000000"/>
                <w:sz w:val="20"/>
                <w:szCs w:val="20"/>
                <w:lang w:val="en-GB" w:eastAsia="x-none"/>
              </w:rPr>
            </w:pPr>
          </w:p>
          <w:p w14:paraId="7FB285F0" w14:textId="736D0BA5" w:rsidR="00223334" w:rsidRDefault="00223334" w:rsidP="00E773A8">
            <w:pPr>
              <w:widowControl w:val="0"/>
              <w:spacing w:before="120" w:line="260" w:lineRule="exact"/>
              <w:outlineLvl w:val="0"/>
              <w:rPr>
                <w:rFonts w:ascii="Corbel" w:eastAsia="Times New Roman" w:hAnsi="Corbel"/>
                <w:bCs/>
                <w:color w:val="000000"/>
                <w:sz w:val="20"/>
                <w:szCs w:val="20"/>
                <w:lang w:val="en-GB" w:eastAsia="x-none"/>
              </w:rPr>
            </w:pPr>
          </w:p>
          <w:p w14:paraId="39649CE6" w14:textId="63E3E304" w:rsidR="00294558" w:rsidRDefault="00294558" w:rsidP="00E773A8">
            <w:pPr>
              <w:widowControl w:val="0"/>
              <w:spacing w:before="120" w:line="260" w:lineRule="exact"/>
              <w:outlineLvl w:val="0"/>
              <w:rPr>
                <w:rFonts w:ascii="Corbel" w:eastAsia="Times New Roman" w:hAnsi="Corbel"/>
                <w:bCs/>
                <w:color w:val="000000"/>
                <w:sz w:val="20"/>
                <w:szCs w:val="20"/>
                <w:lang w:val="en-GB" w:eastAsia="x-none"/>
              </w:rPr>
            </w:pPr>
          </w:p>
          <w:p w14:paraId="62FCB2D4" w14:textId="2B919D54" w:rsidR="00496431" w:rsidRDefault="00496431" w:rsidP="00E773A8">
            <w:pPr>
              <w:widowControl w:val="0"/>
              <w:spacing w:before="120" w:line="260" w:lineRule="exact"/>
              <w:outlineLvl w:val="0"/>
              <w:rPr>
                <w:rFonts w:ascii="Corbel" w:eastAsia="Times New Roman" w:hAnsi="Corbel"/>
                <w:bCs/>
                <w:color w:val="000000"/>
                <w:sz w:val="20"/>
                <w:szCs w:val="20"/>
                <w:lang w:val="en-GB" w:eastAsia="x-none"/>
              </w:rPr>
            </w:pPr>
          </w:p>
          <w:p w14:paraId="6B7987CE" w14:textId="77777777" w:rsidR="0068365F" w:rsidRPr="0003093F" w:rsidRDefault="0068365F" w:rsidP="00E773A8">
            <w:pPr>
              <w:widowControl w:val="0"/>
              <w:spacing w:before="120" w:line="260" w:lineRule="exact"/>
              <w:outlineLvl w:val="0"/>
              <w:rPr>
                <w:rFonts w:ascii="Corbel" w:eastAsia="Times New Roman" w:hAnsi="Corbel"/>
                <w:bCs/>
                <w:color w:val="000000"/>
                <w:sz w:val="20"/>
                <w:szCs w:val="20"/>
                <w:lang w:val="en-GB" w:eastAsia="x-none"/>
              </w:rPr>
            </w:pPr>
          </w:p>
          <w:p w14:paraId="2E924A84" w14:textId="77777777" w:rsidR="00FA01F3" w:rsidRDefault="00FA01F3" w:rsidP="00E773A8">
            <w:pPr>
              <w:widowControl w:val="0"/>
              <w:spacing w:before="120" w:line="260" w:lineRule="exact"/>
              <w:outlineLvl w:val="0"/>
              <w:rPr>
                <w:rFonts w:ascii="Corbel" w:eastAsia="Times New Roman" w:hAnsi="Corbel"/>
                <w:bCs/>
                <w:color w:val="000000"/>
                <w:sz w:val="20"/>
                <w:szCs w:val="20"/>
                <w:lang w:val="en-GB" w:eastAsia="x-none"/>
              </w:rPr>
            </w:pPr>
          </w:p>
          <w:p w14:paraId="15B1B130" w14:textId="77777777" w:rsidR="00FA01F3" w:rsidRDefault="00FA01F3" w:rsidP="00E773A8">
            <w:pPr>
              <w:widowControl w:val="0"/>
              <w:spacing w:before="120" w:line="260" w:lineRule="exact"/>
              <w:outlineLvl w:val="0"/>
              <w:rPr>
                <w:rFonts w:ascii="Corbel" w:eastAsia="Times New Roman" w:hAnsi="Corbel"/>
                <w:bCs/>
                <w:color w:val="000000"/>
                <w:sz w:val="20"/>
                <w:szCs w:val="20"/>
                <w:lang w:val="en-GB" w:eastAsia="x-none"/>
              </w:rPr>
            </w:pPr>
          </w:p>
          <w:p w14:paraId="2E303BA3" w14:textId="77777777" w:rsidR="00FA01F3" w:rsidRDefault="00FA01F3" w:rsidP="00E773A8">
            <w:pPr>
              <w:widowControl w:val="0"/>
              <w:spacing w:before="120" w:line="260" w:lineRule="exact"/>
              <w:outlineLvl w:val="0"/>
              <w:rPr>
                <w:rFonts w:ascii="Corbel" w:eastAsia="Times New Roman" w:hAnsi="Corbel"/>
                <w:bCs/>
                <w:color w:val="000000"/>
                <w:sz w:val="20"/>
                <w:szCs w:val="20"/>
                <w:lang w:val="en-GB" w:eastAsia="x-none"/>
              </w:rPr>
            </w:pPr>
          </w:p>
          <w:p w14:paraId="60C29499" w14:textId="77777777" w:rsidR="00FA01F3" w:rsidRDefault="00FA01F3" w:rsidP="00E773A8">
            <w:pPr>
              <w:widowControl w:val="0"/>
              <w:spacing w:before="120" w:line="260" w:lineRule="exact"/>
              <w:outlineLvl w:val="0"/>
              <w:rPr>
                <w:rFonts w:ascii="Corbel" w:eastAsia="Times New Roman" w:hAnsi="Corbel"/>
                <w:bCs/>
                <w:color w:val="000000"/>
                <w:sz w:val="20"/>
                <w:szCs w:val="20"/>
                <w:lang w:val="en-GB" w:eastAsia="x-none"/>
              </w:rPr>
            </w:pPr>
          </w:p>
          <w:p w14:paraId="55038523" w14:textId="77777777" w:rsidR="00FA01F3" w:rsidRDefault="00FA01F3" w:rsidP="00E773A8">
            <w:pPr>
              <w:widowControl w:val="0"/>
              <w:spacing w:before="120" w:line="260" w:lineRule="exact"/>
              <w:outlineLvl w:val="0"/>
              <w:rPr>
                <w:rFonts w:ascii="Corbel" w:eastAsia="Times New Roman" w:hAnsi="Corbel"/>
                <w:bCs/>
                <w:color w:val="000000"/>
                <w:sz w:val="20"/>
                <w:szCs w:val="20"/>
                <w:lang w:val="en-GB" w:eastAsia="x-none"/>
              </w:rPr>
            </w:pPr>
          </w:p>
          <w:p w14:paraId="092C90DC" w14:textId="77777777" w:rsidR="001C627A" w:rsidRDefault="001C627A" w:rsidP="00E773A8">
            <w:pPr>
              <w:widowControl w:val="0"/>
              <w:spacing w:before="120" w:line="260" w:lineRule="exact"/>
              <w:outlineLvl w:val="0"/>
              <w:rPr>
                <w:rFonts w:ascii="Corbel" w:eastAsia="Times New Roman" w:hAnsi="Corbel"/>
                <w:bCs/>
                <w:color w:val="000000"/>
                <w:sz w:val="20"/>
                <w:szCs w:val="20"/>
                <w:lang w:val="en-GB" w:eastAsia="x-none"/>
              </w:rPr>
            </w:pPr>
          </w:p>
          <w:p w14:paraId="35231E69" w14:textId="23CB9AEF" w:rsidR="00A561B6" w:rsidRPr="0003093F" w:rsidRDefault="00846DE9" w:rsidP="00E773A8">
            <w:pPr>
              <w:widowControl w:val="0"/>
              <w:spacing w:before="120" w:line="260" w:lineRule="exact"/>
              <w:outlineLvl w:val="0"/>
              <w:rPr>
                <w:rFonts w:ascii="Corbel" w:eastAsia="Times New Roman" w:hAnsi="Corbel"/>
                <w:bCs/>
                <w:color w:val="000000"/>
                <w:sz w:val="20"/>
                <w:szCs w:val="20"/>
                <w:lang w:val="en-GB" w:eastAsia="x-none"/>
              </w:rPr>
            </w:pPr>
            <w:bookmarkStart w:id="112" w:name="_Toc103506648"/>
            <w:r w:rsidRPr="0003093F">
              <w:rPr>
                <w:rFonts w:ascii="Corbel" w:eastAsia="Times New Roman" w:hAnsi="Corbel"/>
                <w:bCs/>
                <w:color w:val="000000"/>
                <w:sz w:val="20"/>
                <w:szCs w:val="20"/>
                <w:lang w:val="en-GB" w:eastAsia="x-none"/>
              </w:rPr>
              <w:t>1.1.1.</w:t>
            </w:r>
            <w:r w:rsidR="00A561B6" w:rsidRPr="0003093F">
              <w:rPr>
                <w:rFonts w:ascii="Corbel" w:eastAsia="Times New Roman" w:hAnsi="Corbel" w:cstheme="minorHAnsi"/>
                <w:sz w:val="20"/>
                <w:szCs w:val="20"/>
                <w:lang w:val="en-GB" w:eastAsia="en-US"/>
              </w:rPr>
              <w:t xml:space="preserve"> </w:t>
            </w:r>
            <w:r w:rsidR="004B1DD2" w:rsidRPr="0003093F">
              <w:rPr>
                <w:rFonts w:ascii="Corbel" w:eastAsia="Times New Roman" w:hAnsi="Corbel"/>
                <w:bCs/>
                <w:color w:val="000000"/>
                <w:sz w:val="20"/>
                <w:szCs w:val="20"/>
                <w:lang w:val="en-GB" w:eastAsia="x-none"/>
              </w:rPr>
              <w:t>L</w:t>
            </w:r>
            <w:r w:rsidR="00A561B6" w:rsidRPr="0003093F">
              <w:rPr>
                <w:rFonts w:ascii="Corbel" w:eastAsia="Times New Roman" w:hAnsi="Corbel"/>
                <w:bCs/>
                <w:color w:val="000000"/>
                <w:sz w:val="20"/>
                <w:szCs w:val="20"/>
                <w:lang w:val="en-GB" w:eastAsia="x-none"/>
              </w:rPr>
              <w:t>evel of readiness of assessments and plans for PAFTA upgrading and ACU preparations considering WTO rules and best practices</w:t>
            </w:r>
            <w:bookmarkEnd w:id="112"/>
          </w:p>
          <w:p w14:paraId="1F9AE634" w14:textId="633F3EB0" w:rsidR="00A561B6" w:rsidRPr="0003093F" w:rsidRDefault="00A561B6" w:rsidP="00E773A8">
            <w:pPr>
              <w:widowControl w:val="0"/>
              <w:spacing w:before="120" w:line="260" w:lineRule="exact"/>
              <w:ind w:left="99"/>
              <w:outlineLvl w:val="0"/>
              <w:rPr>
                <w:rFonts w:ascii="Corbel" w:eastAsia="Times New Roman" w:hAnsi="Corbel"/>
                <w:bCs/>
                <w:color w:val="000000"/>
                <w:sz w:val="20"/>
                <w:szCs w:val="20"/>
                <w:lang w:val="en-GB" w:eastAsia="x-none"/>
              </w:rPr>
            </w:pPr>
          </w:p>
          <w:p w14:paraId="3060ACEE" w14:textId="420ABA99" w:rsidR="001B0E2F" w:rsidRDefault="001B0E2F" w:rsidP="00394098">
            <w:pPr>
              <w:widowControl w:val="0"/>
              <w:spacing w:before="120" w:line="260" w:lineRule="exact"/>
              <w:outlineLvl w:val="0"/>
              <w:rPr>
                <w:rFonts w:ascii="Corbel" w:eastAsia="Times New Roman" w:hAnsi="Corbel"/>
                <w:bCs/>
                <w:color w:val="000000"/>
                <w:sz w:val="20"/>
                <w:szCs w:val="20"/>
                <w:lang w:val="en-GB" w:eastAsia="x-none"/>
              </w:rPr>
            </w:pPr>
          </w:p>
          <w:p w14:paraId="30A5699B" w14:textId="54D139F9" w:rsidR="00115AD8" w:rsidRDefault="00115AD8" w:rsidP="00394098">
            <w:pPr>
              <w:widowControl w:val="0"/>
              <w:spacing w:before="120" w:line="260" w:lineRule="exact"/>
              <w:outlineLvl w:val="0"/>
              <w:rPr>
                <w:rFonts w:ascii="Corbel" w:eastAsia="Times New Roman" w:hAnsi="Corbel"/>
                <w:bCs/>
                <w:color w:val="000000"/>
                <w:sz w:val="20"/>
                <w:szCs w:val="20"/>
                <w:lang w:val="en-GB" w:eastAsia="x-none"/>
              </w:rPr>
            </w:pPr>
          </w:p>
          <w:p w14:paraId="79A9D70D" w14:textId="77777777" w:rsidR="00115AD8" w:rsidRPr="0003093F" w:rsidRDefault="00115AD8" w:rsidP="00394098">
            <w:pPr>
              <w:widowControl w:val="0"/>
              <w:spacing w:before="120" w:line="260" w:lineRule="exact"/>
              <w:outlineLvl w:val="0"/>
              <w:rPr>
                <w:rFonts w:ascii="Corbel" w:eastAsia="Times New Roman" w:hAnsi="Corbel"/>
                <w:bCs/>
                <w:color w:val="000000"/>
                <w:sz w:val="20"/>
                <w:szCs w:val="20"/>
                <w:u w:val="single"/>
                <w:lang w:val="en-GB" w:eastAsia="x-none"/>
              </w:rPr>
            </w:pPr>
          </w:p>
          <w:p w14:paraId="1F527DDC" w14:textId="344A5583" w:rsidR="00A561B6" w:rsidRPr="0003093F" w:rsidRDefault="00846DE9" w:rsidP="00E773A8">
            <w:pPr>
              <w:widowControl w:val="0"/>
              <w:spacing w:before="120" w:line="260" w:lineRule="exact"/>
              <w:ind w:left="99"/>
              <w:outlineLvl w:val="0"/>
              <w:rPr>
                <w:rFonts w:ascii="Corbel" w:eastAsia="Times New Roman" w:hAnsi="Corbel"/>
                <w:bCs/>
                <w:color w:val="000000"/>
                <w:sz w:val="20"/>
                <w:szCs w:val="20"/>
                <w:lang w:val="en-GB" w:eastAsia="x-none"/>
              </w:rPr>
            </w:pPr>
            <w:bookmarkStart w:id="113" w:name="_Toc103506649"/>
            <w:r w:rsidRPr="0003093F">
              <w:rPr>
                <w:rFonts w:ascii="Corbel" w:eastAsia="Times New Roman" w:hAnsi="Corbel"/>
                <w:bCs/>
                <w:color w:val="000000"/>
                <w:sz w:val="20"/>
                <w:szCs w:val="20"/>
                <w:u w:val="single"/>
                <w:lang w:val="en-GB" w:eastAsia="x-none"/>
              </w:rPr>
              <w:t>1.1.2</w:t>
            </w:r>
            <w:r w:rsidR="00A561B6" w:rsidRPr="0003093F">
              <w:rPr>
                <w:rFonts w:ascii="Corbel" w:eastAsia="Times New Roman" w:hAnsi="Corbel"/>
                <w:bCs/>
                <w:color w:val="000000"/>
                <w:sz w:val="20"/>
                <w:szCs w:val="20"/>
                <w:u w:val="single"/>
                <w:lang w:val="en-GB" w:eastAsia="x-none"/>
              </w:rPr>
              <w:t xml:space="preserve"> </w:t>
            </w:r>
            <w:r w:rsidR="00A561B6" w:rsidRPr="0003093F">
              <w:rPr>
                <w:rFonts w:ascii="Corbel" w:eastAsia="Times New Roman" w:hAnsi="Corbel"/>
                <w:bCs/>
                <w:color w:val="000000"/>
                <w:sz w:val="20"/>
                <w:szCs w:val="20"/>
                <w:lang w:val="en-GB" w:eastAsia="x-none"/>
              </w:rPr>
              <w:t>Availability of technical models of governance for PAFTA upgrading and ACU preparations and defined mechanisms of consultation with stakeholder</w:t>
            </w:r>
            <w:r w:rsidR="00E773A8" w:rsidRPr="0003093F">
              <w:rPr>
                <w:rFonts w:ascii="Corbel" w:eastAsia="Times New Roman" w:hAnsi="Corbel"/>
                <w:bCs/>
                <w:color w:val="000000"/>
                <w:sz w:val="20"/>
                <w:szCs w:val="20"/>
                <w:lang w:val="en-GB" w:eastAsia="x-none"/>
              </w:rPr>
              <w:t>s.</w:t>
            </w:r>
            <w:bookmarkEnd w:id="113"/>
          </w:p>
          <w:p w14:paraId="69C50E92" w14:textId="3E86EAC6" w:rsidR="00416E02" w:rsidRPr="0003093F" w:rsidRDefault="00416E02" w:rsidP="00583642">
            <w:pPr>
              <w:widowControl w:val="0"/>
              <w:spacing w:before="120" w:line="260" w:lineRule="exact"/>
              <w:outlineLvl w:val="0"/>
              <w:rPr>
                <w:rFonts w:ascii="Corbel" w:eastAsia="Times New Roman" w:hAnsi="Corbel" w:cs="Arial"/>
                <w:sz w:val="20"/>
                <w:szCs w:val="20"/>
                <w:lang w:val="en-GB" w:eastAsia="en-US"/>
              </w:rPr>
            </w:pPr>
          </w:p>
        </w:tc>
        <w:tc>
          <w:tcPr>
            <w:tcW w:w="3089" w:type="dxa"/>
            <w:shd w:val="clear" w:color="auto" w:fill="auto"/>
          </w:tcPr>
          <w:p w14:paraId="33A1D558" w14:textId="77777777" w:rsidR="000E46CB" w:rsidRPr="0003093F" w:rsidRDefault="00223334" w:rsidP="006444AB">
            <w:pPr>
              <w:widowControl w:val="0"/>
              <w:spacing w:before="120" w:line="260" w:lineRule="exact"/>
              <w:outlineLvl w:val="0"/>
              <w:rPr>
                <w:rFonts w:ascii="Corbel" w:eastAsia="Times New Roman" w:hAnsi="Corbel"/>
                <w:bCs/>
                <w:sz w:val="20"/>
                <w:szCs w:val="20"/>
                <w:lang w:val="en-GB" w:eastAsia="x-none"/>
              </w:rPr>
            </w:pPr>
            <w:bookmarkStart w:id="114" w:name="_Toc103506650"/>
            <w:r w:rsidRPr="0003093F">
              <w:rPr>
                <w:rFonts w:ascii="Corbel" w:eastAsia="Times New Roman" w:hAnsi="Corbel"/>
                <w:bCs/>
                <w:sz w:val="20"/>
                <w:szCs w:val="20"/>
                <w:u w:val="single"/>
                <w:lang w:val="en-GB" w:eastAsia="x-none"/>
              </w:rPr>
              <w:lastRenderedPageBreak/>
              <w:t xml:space="preserve">Baseline 1.1: </w:t>
            </w:r>
            <w:r w:rsidRPr="0003093F">
              <w:rPr>
                <w:rFonts w:ascii="Corbel" w:eastAsia="Times New Roman" w:hAnsi="Corbel"/>
                <w:bCs/>
                <w:sz w:val="20"/>
                <w:szCs w:val="20"/>
                <w:lang w:val="en-GB" w:eastAsia="x-none"/>
              </w:rPr>
              <w:t>Slow implementation of PAFTA provisions.</w:t>
            </w:r>
            <w:bookmarkEnd w:id="114"/>
          </w:p>
          <w:p w14:paraId="1555EF87" w14:textId="77777777" w:rsidR="00FC14C8" w:rsidRDefault="00FC14C8" w:rsidP="000E46CB">
            <w:pPr>
              <w:jc w:val="both"/>
              <w:rPr>
                <w:rFonts w:ascii="Corbel" w:hAnsi="Corbel" w:cstheme="minorHAnsi"/>
                <w:sz w:val="20"/>
                <w:szCs w:val="20"/>
                <w:u w:val="single"/>
                <w:lang w:val="en-GB"/>
              </w:rPr>
            </w:pPr>
          </w:p>
          <w:p w14:paraId="5E2F55A5" w14:textId="77777777" w:rsidR="00294558" w:rsidRPr="00294558" w:rsidRDefault="00294558" w:rsidP="00294558">
            <w:pPr>
              <w:jc w:val="both"/>
              <w:rPr>
                <w:rFonts w:ascii="Corbel" w:hAnsi="Corbel" w:cstheme="minorHAnsi"/>
                <w:sz w:val="20"/>
                <w:szCs w:val="20"/>
                <w:u w:val="single"/>
                <w:lang w:val="en-GB"/>
              </w:rPr>
            </w:pPr>
            <w:r w:rsidRPr="00294558">
              <w:rPr>
                <w:rFonts w:ascii="Corbel" w:hAnsi="Corbel" w:cstheme="minorHAnsi"/>
                <w:sz w:val="20"/>
                <w:szCs w:val="20"/>
                <w:u w:val="single"/>
                <w:lang w:val="en-GB"/>
              </w:rPr>
              <w:t xml:space="preserve">Target 1.1: Measurable progress in PAFTA implementation </w:t>
            </w:r>
          </w:p>
          <w:p w14:paraId="603F2FFB" w14:textId="77777777" w:rsidR="00FC14C8" w:rsidRDefault="00FC14C8" w:rsidP="000E46CB">
            <w:pPr>
              <w:jc w:val="both"/>
              <w:rPr>
                <w:rFonts w:ascii="Corbel" w:hAnsi="Corbel" w:cstheme="minorHAnsi"/>
                <w:sz w:val="20"/>
                <w:szCs w:val="20"/>
                <w:u w:val="single"/>
                <w:lang w:val="en-GB"/>
              </w:rPr>
            </w:pPr>
          </w:p>
          <w:p w14:paraId="45D6F1C3" w14:textId="7C7378A8" w:rsidR="00FC14C8" w:rsidRDefault="00FC14C8" w:rsidP="000E46CB">
            <w:pPr>
              <w:jc w:val="both"/>
              <w:rPr>
                <w:rFonts w:ascii="Corbel" w:hAnsi="Corbel" w:cstheme="minorHAnsi"/>
                <w:sz w:val="20"/>
                <w:szCs w:val="20"/>
                <w:u w:val="single"/>
                <w:lang w:val="en-GB"/>
              </w:rPr>
            </w:pPr>
          </w:p>
          <w:p w14:paraId="74E8CF32" w14:textId="1B571A22" w:rsidR="00294558" w:rsidRDefault="00294558" w:rsidP="000E46CB">
            <w:pPr>
              <w:jc w:val="both"/>
              <w:rPr>
                <w:rFonts w:ascii="Corbel" w:hAnsi="Corbel" w:cstheme="minorHAnsi"/>
                <w:sz w:val="20"/>
                <w:szCs w:val="20"/>
                <w:u w:val="single"/>
                <w:lang w:val="en-GB"/>
              </w:rPr>
            </w:pPr>
          </w:p>
          <w:p w14:paraId="77925607" w14:textId="43FB35EA" w:rsidR="0068365F" w:rsidRDefault="0068365F" w:rsidP="000E46CB">
            <w:pPr>
              <w:jc w:val="both"/>
              <w:rPr>
                <w:rFonts w:ascii="Corbel" w:hAnsi="Corbel" w:cstheme="minorHAnsi"/>
                <w:sz w:val="20"/>
                <w:szCs w:val="20"/>
                <w:u w:val="single"/>
                <w:lang w:val="en-GB"/>
              </w:rPr>
            </w:pPr>
          </w:p>
          <w:p w14:paraId="17503717" w14:textId="7B5E221A" w:rsidR="0068365F" w:rsidRDefault="0068365F" w:rsidP="000E46CB">
            <w:pPr>
              <w:jc w:val="both"/>
              <w:rPr>
                <w:rFonts w:ascii="Corbel" w:hAnsi="Corbel" w:cstheme="minorHAnsi"/>
                <w:sz w:val="20"/>
                <w:szCs w:val="20"/>
                <w:u w:val="single"/>
                <w:lang w:val="en-GB"/>
              </w:rPr>
            </w:pPr>
          </w:p>
          <w:p w14:paraId="654F3ADA" w14:textId="6BC86140" w:rsidR="0068365F" w:rsidRDefault="0068365F" w:rsidP="000E46CB">
            <w:pPr>
              <w:jc w:val="both"/>
              <w:rPr>
                <w:rFonts w:ascii="Corbel" w:hAnsi="Corbel" w:cstheme="minorHAnsi"/>
                <w:sz w:val="20"/>
                <w:szCs w:val="20"/>
                <w:u w:val="single"/>
                <w:lang w:val="en-GB"/>
              </w:rPr>
            </w:pPr>
          </w:p>
          <w:p w14:paraId="0147C80E" w14:textId="39D27D41" w:rsidR="00FA01F3" w:rsidRDefault="00FA01F3" w:rsidP="000E46CB">
            <w:pPr>
              <w:jc w:val="both"/>
              <w:rPr>
                <w:rFonts w:ascii="Corbel" w:hAnsi="Corbel" w:cstheme="minorHAnsi"/>
                <w:sz w:val="20"/>
                <w:szCs w:val="20"/>
                <w:u w:val="single"/>
                <w:lang w:val="en-GB"/>
              </w:rPr>
            </w:pPr>
          </w:p>
          <w:p w14:paraId="5B1BFAFB" w14:textId="5B7868B7" w:rsidR="00FA01F3" w:rsidRDefault="00FA01F3" w:rsidP="000E46CB">
            <w:pPr>
              <w:jc w:val="both"/>
              <w:rPr>
                <w:rFonts w:ascii="Corbel" w:hAnsi="Corbel" w:cstheme="minorHAnsi"/>
                <w:sz w:val="20"/>
                <w:szCs w:val="20"/>
                <w:u w:val="single"/>
                <w:lang w:val="en-GB"/>
              </w:rPr>
            </w:pPr>
          </w:p>
          <w:p w14:paraId="35562626" w14:textId="45024856" w:rsidR="00FA01F3" w:rsidRDefault="00FA01F3" w:rsidP="000E46CB">
            <w:pPr>
              <w:jc w:val="both"/>
              <w:rPr>
                <w:rFonts w:ascii="Corbel" w:hAnsi="Corbel" w:cstheme="minorHAnsi"/>
                <w:sz w:val="20"/>
                <w:szCs w:val="20"/>
                <w:u w:val="single"/>
                <w:lang w:val="en-GB"/>
              </w:rPr>
            </w:pPr>
          </w:p>
          <w:p w14:paraId="039DDE7E" w14:textId="5A6D33AE" w:rsidR="00FA01F3" w:rsidRDefault="00FA01F3" w:rsidP="000E46CB">
            <w:pPr>
              <w:jc w:val="both"/>
              <w:rPr>
                <w:rFonts w:ascii="Corbel" w:hAnsi="Corbel" w:cstheme="minorHAnsi"/>
                <w:sz w:val="20"/>
                <w:szCs w:val="20"/>
                <w:u w:val="single"/>
                <w:lang w:val="en-GB"/>
              </w:rPr>
            </w:pPr>
          </w:p>
          <w:p w14:paraId="2A6484FC" w14:textId="6D4E8B2A" w:rsidR="00FA01F3" w:rsidRDefault="00FA01F3" w:rsidP="000E46CB">
            <w:pPr>
              <w:jc w:val="both"/>
              <w:rPr>
                <w:rFonts w:ascii="Corbel" w:hAnsi="Corbel" w:cstheme="minorHAnsi"/>
                <w:sz w:val="20"/>
                <w:szCs w:val="20"/>
                <w:u w:val="single"/>
                <w:lang w:val="en-GB"/>
              </w:rPr>
            </w:pPr>
          </w:p>
          <w:p w14:paraId="793DBF5E" w14:textId="50E375C1" w:rsidR="00FA01F3" w:rsidRDefault="00FA01F3" w:rsidP="000E46CB">
            <w:pPr>
              <w:jc w:val="both"/>
              <w:rPr>
                <w:rFonts w:ascii="Corbel" w:hAnsi="Corbel" w:cstheme="minorHAnsi"/>
                <w:sz w:val="20"/>
                <w:szCs w:val="20"/>
                <w:u w:val="single"/>
                <w:lang w:val="en-GB"/>
              </w:rPr>
            </w:pPr>
          </w:p>
          <w:p w14:paraId="4D597E9B" w14:textId="77777777" w:rsidR="001C627A" w:rsidRDefault="001C627A" w:rsidP="000E46CB">
            <w:pPr>
              <w:jc w:val="both"/>
              <w:rPr>
                <w:rFonts w:ascii="Corbel" w:hAnsi="Corbel" w:cstheme="minorHAnsi"/>
                <w:sz w:val="20"/>
                <w:szCs w:val="20"/>
                <w:u w:val="single"/>
                <w:lang w:val="en-GB"/>
              </w:rPr>
            </w:pPr>
          </w:p>
          <w:p w14:paraId="23EA336D" w14:textId="77777777" w:rsidR="00BA7002" w:rsidRDefault="00BA7002" w:rsidP="000E46CB">
            <w:pPr>
              <w:jc w:val="both"/>
              <w:rPr>
                <w:rFonts w:ascii="Corbel" w:hAnsi="Corbel" w:cstheme="minorHAnsi"/>
                <w:sz w:val="20"/>
                <w:szCs w:val="20"/>
                <w:u w:val="single"/>
                <w:lang w:val="en-GB"/>
              </w:rPr>
            </w:pPr>
          </w:p>
          <w:p w14:paraId="22837ED3" w14:textId="5EC0C248" w:rsidR="000E46CB" w:rsidRPr="0003093F" w:rsidRDefault="000E46CB" w:rsidP="000E46CB">
            <w:pPr>
              <w:jc w:val="both"/>
              <w:rPr>
                <w:rFonts w:ascii="Corbel" w:hAnsi="Corbel" w:cstheme="minorHAnsi"/>
                <w:sz w:val="20"/>
                <w:szCs w:val="20"/>
                <w:lang w:val="en-GB"/>
              </w:rPr>
            </w:pPr>
            <w:r w:rsidRPr="0003093F">
              <w:rPr>
                <w:rFonts w:ascii="Corbel" w:hAnsi="Corbel" w:cstheme="minorHAnsi"/>
                <w:sz w:val="20"/>
                <w:szCs w:val="20"/>
                <w:u w:val="single"/>
                <w:lang w:val="en-GB"/>
              </w:rPr>
              <w:t>Baseline 1.1.1:</w:t>
            </w:r>
            <w:r w:rsidRPr="0003093F">
              <w:rPr>
                <w:rFonts w:ascii="Corbel" w:hAnsi="Corbel" w:cstheme="minorHAnsi"/>
                <w:sz w:val="20"/>
                <w:szCs w:val="20"/>
                <w:lang w:val="en-GB"/>
              </w:rPr>
              <w:t xml:space="preserve"> Lack of assessments and plans for PAFTA upgrading and ACU preparations.</w:t>
            </w:r>
          </w:p>
          <w:p w14:paraId="7EFF5227" w14:textId="77777777" w:rsidR="003D1172" w:rsidRDefault="003D1172" w:rsidP="000E46CB">
            <w:pPr>
              <w:rPr>
                <w:rFonts w:ascii="Corbel" w:hAnsi="Corbel" w:cstheme="minorHAnsi"/>
                <w:sz w:val="20"/>
                <w:szCs w:val="20"/>
                <w:u w:val="single"/>
                <w:lang w:val="en-GB"/>
              </w:rPr>
            </w:pPr>
          </w:p>
          <w:p w14:paraId="25097994" w14:textId="6CA39605" w:rsidR="003D1172" w:rsidRDefault="003D1172" w:rsidP="00115AD8">
            <w:pPr>
              <w:jc w:val="both"/>
              <w:rPr>
                <w:rFonts w:ascii="Corbel" w:hAnsi="Corbel" w:cstheme="minorHAnsi"/>
                <w:sz w:val="20"/>
                <w:szCs w:val="20"/>
                <w:u w:val="single"/>
                <w:lang w:val="en-GB"/>
              </w:rPr>
            </w:pPr>
            <w:r w:rsidRPr="0003093F">
              <w:rPr>
                <w:rFonts w:ascii="Corbel" w:hAnsi="Corbel" w:cstheme="minorHAnsi"/>
                <w:sz w:val="20"/>
                <w:szCs w:val="20"/>
                <w:u w:val="single"/>
                <w:lang w:val="en-GB"/>
              </w:rPr>
              <w:t>Target 1.1.1</w:t>
            </w:r>
            <w:r w:rsidRPr="0003093F">
              <w:rPr>
                <w:rFonts w:ascii="Corbel" w:hAnsi="Corbel" w:cstheme="minorHAnsi"/>
                <w:sz w:val="20"/>
                <w:szCs w:val="20"/>
                <w:lang w:val="en-GB"/>
              </w:rPr>
              <w:t xml:space="preserve">: 6 </w:t>
            </w:r>
            <w:r w:rsidR="009075AF">
              <w:rPr>
                <w:rFonts w:ascii="Corbel" w:hAnsi="Corbel" w:cstheme="minorHAnsi"/>
                <w:sz w:val="20"/>
                <w:szCs w:val="20"/>
                <w:lang w:val="en-GB"/>
              </w:rPr>
              <w:t>a</w:t>
            </w:r>
            <w:r w:rsidRPr="0003093F">
              <w:rPr>
                <w:rFonts w:ascii="Corbel" w:hAnsi="Corbel" w:cstheme="minorHAnsi"/>
                <w:sz w:val="20"/>
                <w:szCs w:val="20"/>
                <w:lang w:val="en-GB"/>
              </w:rPr>
              <w:t>ssessments conducted and translated into plans detailing technical areas for PAFTA upgrading and ACU preparation.</w:t>
            </w:r>
          </w:p>
          <w:p w14:paraId="013F4622" w14:textId="7372260B" w:rsidR="00165D6F" w:rsidRDefault="00165D6F" w:rsidP="000E46CB">
            <w:pPr>
              <w:rPr>
                <w:rFonts w:ascii="Corbel" w:hAnsi="Corbel" w:cstheme="minorHAnsi"/>
                <w:sz w:val="20"/>
                <w:szCs w:val="20"/>
                <w:u w:val="single"/>
                <w:lang w:val="en-GB"/>
              </w:rPr>
            </w:pPr>
          </w:p>
          <w:p w14:paraId="1FFFC608" w14:textId="77777777" w:rsidR="001C627A" w:rsidRDefault="001C627A" w:rsidP="000E46CB">
            <w:pPr>
              <w:rPr>
                <w:rFonts w:ascii="Corbel" w:hAnsi="Corbel" w:cstheme="minorHAnsi"/>
                <w:sz w:val="20"/>
                <w:szCs w:val="20"/>
                <w:u w:val="single"/>
                <w:lang w:val="en-GB"/>
              </w:rPr>
            </w:pPr>
          </w:p>
          <w:p w14:paraId="29A52864" w14:textId="7DFB1960" w:rsidR="000E46CB" w:rsidRPr="0003093F" w:rsidRDefault="000E46CB" w:rsidP="000E46CB">
            <w:pPr>
              <w:rPr>
                <w:rFonts w:ascii="Corbel" w:hAnsi="Corbel" w:cstheme="minorHAnsi"/>
                <w:sz w:val="20"/>
                <w:szCs w:val="20"/>
                <w:lang w:val="en-GB"/>
              </w:rPr>
            </w:pPr>
            <w:r w:rsidRPr="0003093F">
              <w:rPr>
                <w:rFonts w:ascii="Corbel" w:hAnsi="Corbel" w:cstheme="minorHAnsi"/>
                <w:sz w:val="20"/>
                <w:szCs w:val="20"/>
                <w:u w:val="single"/>
                <w:lang w:val="en-GB"/>
              </w:rPr>
              <w:t>Baseline 1.1.2:</w:t>
            </w:r>
            <w:r w:rsidRPr="0003093F">
              <w:rPr>
                <w:rFonts w:ascii="Corbel" w:hAnsi="Corbel" w:cstheme="minorHAnsi"/>
                <w:sz w:val="20"/>
                <w:szCs w:val="20"/>
                <w:lang w:val="en-GB"/>
              </w:rPr>
              <w:t xml:space="preserve"> Lack of governance models and mechanisms of consultations for policy coherence.</w:t>
            </w:r>
          </w:p>
          <w:p w14:paraId="0F06D62D" w14:textId="75C828A6" w:rsidR="000E46CB" w:rsidRPr="0003093F" w:rsidRDefault="000E46CB" w:rsidP="000E46CB">
            <w:pPr>
              <w:jc w:val="both"/>
              <w:rPr>
                <w:rFonts w:ascii="Corbel" w:hAnsi="Corbel" w:cstheme="minorHAnsi"/>
                <w:b/>
                <w:bCs/>
                <w:i/>
                <w:iCs/>
                <w:sz w:val="20"/>
                <w:szCs w:val="20"/>
                <w:lang w:val="en-GB"/>
              </w:rPr>
            </w:pPr>
          </w:p>
          <w:p w14:paraId="1A3379DB" w14:textId="107C15E7" w:rsidR="002104D9" w:rsidRPr="0003093F" w:rsidRDefault="000E46CB" w:rsidP="00E773A8">
            <w:pPr>
              <w:widowControl w:val="0"/>
              <w:spacing w:before="120" w:line="260" w:lineRule="exact"/>
              <w:outlineLvl w:val="0"/>
              <w:rPr>
                <w:rFonts w:ascii="Corbel" w:eastAsia="Times New Roman" w:hAnsi="Corbel"/>
                <w:bCs/>
                <w:sz w:val="20"/>
                <w:szCs w:val="20"/>
                <w:u w:val="single"/>
                <w:lang w:val="en-GB" w:eastAsia="x-none"/>
              </w:rPr>
            </w:pPr>
            <w:bookmarkStart w:id="115" w:name="_Toc103506651"/>
            <w:r w:rsidRPr="0003093F">
              <w:rPr>
                <w:rFonts w:ascii="Corbel" w:hAnsi="Corbel" w:cstheme="minorHAnsi"/>
                <w:sz w:val="20"/>
                <w:szCs w:val="20"/>
                <w:u w:val="single"/>
                <w:lang w:val="en-GB"/>
              </w:rPr>
              <w:t>Target 1.1.2</w:t>
            </w:r>
            <w:r w:rsidRPr="0003093F">
              <w:rPr>
                <w:rFonts w:ascii="Corbel" w:hAnsi="Corbel" w:cstheme="minorHAnsi"/>
                <w:sz w:val="20"/>
                <w:szCs w:val="20"/>
                <w:lang w:val="en-GB"/>
              </w:rPr>
              <w:t>: Draft regulations prepared and presented to the proposing 2 alternative governance models to be considered for adoption by LAS and Member States</w:t>
            </w:r>
            <w:bookmarkEnd w:id="115"/>
          </w:p>
        </w:tc>
        <w:tc>
          <w:tcPr>
            <w:tcW w:w="3685" w:type="dxa"/>
            <w:shd w:val="clear" w:color="auto" w:fill="auto"/>
          </w:tcPr>
          <w:p w14:paraId="0CAFE70B" w14:textId="14FCEDF1" w:rsidR="000E46CB" w:rsidRPr="0097348C" w:rsidRDefault="00496431" w:rsidP="000168EC">
            <w:pPr>
              <w:pStyle w:val="ListParagraph"/>
              <w:numPr>
                <w:ilvl w:val="1"/>
                <w:numId w:val="7"/>
              </w:numPr>
              <w:tabs>
                <w:tab w:val="left" w:pos="0"/>
              </w:tabs>
              <w:spacing w:before="120"/>
              <w:ind w:left="0" w:firstLine="0"/>
              <w:jc w:val="both"/>
              <w:rPr>
                <w:rFonts w:ascii="Corbel" w:hAnsi="Corbel"/>
                <w:sz w:val="20"/>
                <w:szCs w:val="20"/>
              </w:rPr>
            </w:pPr>
            <w:r>
              <w:rPr>
                <w:rFonts w:ascii="Corbel" w:hAnsi="Corbel"/>
                <w:sz w:val="20"/>
                <w:szCs w:val="20"/>
                <w:lang w:val="en-US"/>
              </w:rPr>
              <w:lastRenderedPageBreak/>
              <w:t xml:space="preserve">Achieved milestones in </w:t>
            </w:r>
            <w:r w:rsidR="000E46CB" w:rsidRPr="0003093F">
              <w:rPr>
                <w:rFonts w:ascii="Corbel" w:hAnsi="Corbel"/>
                <w:sz w:val="20"/>
                <w:szCs w:val="20"/>
              </w:rPr>
              <w:t>PAFTA implementation</w:t>
            </w:r>
            <w:r w:rsidR="00F3065B" w:rsidRPr="0003093F">
              <w:rPr>
                <w:rFonts w:ascii="Corbel" w:hAnsi="Corbel"/>
                <w:sz w:val="20"/>
                <w:szCs w:val="20"/>
                <w:lang w:val="en-US"/>
              </w:rPr>
              <w:t xml:space="preserve"> </w:t>
            </w:r>
            <w:r>
              <w:rPr>
                <w:rFonts w:ascii="Corbel" w:hAnsi="Corbel"/>
                <w:sz w:val="20"/>
                <w:szCs w:val="20"/>
                <w:lang w:val="en-GB"/>
              </w:rPr>
              <w:t>include:</w:t>
            </w:r>
            <w:r w:rsidR="000118D1">
              <w:rPr>
                <w:rFonts w:ascii="Corbel" w:hAnsi="Corbel"/>
                <w:sz w:val="20"/>
                <w:szCs w:val="20"/>
                <w:lang w:val="en-GB"/>
              </w:rPr>
              <w:t xml:space="preserve"> a</w:t>
            </w:r>
            <w:r w:rsidR="000E46CB" w:rsidRPr="0003093F">
              <w:rPr>
                <w:rFonts w:ascii="Corbel" w:hAnsi="Corbel"/>
                <w:sz w:val="20"/>
                <w:szCs w:val="20"/>
                <w:lang w:val="en-GB"/>
              </w:rPr>
              <w:t xml:space="preserve"> notification </w:t>
            </w:r>
            <w:r w:rsidR="000E46CB" w:rsidRPr="0003093F">
              <w:rPr>
                <w:rFonts w:ascii="Corbel" w:hAnsi="Corbel"/>
                <w:sz w:val="20"/>
                <w:szCs w:val="20"/>
                <w:lang w:val="en-GB"/>
              </w:rPr>
              <w:lastRenderedPageBreak/>
              <w:t>modality for new national trade regulations</w:t>
            </w:r>
            <w:r w:rsidR="00ED2B48" w:rsidRPr="0003093F">
              <w:rPr>
                <w:rFonts w:ascii="Corbel" w:hAnsi="Corbel"/>
                <w:sz w:val="20"/>
                <w:szCs w:val="20"/>
                <w:lang w:val="en-GB"/>
              </w:rPr>
              <w:t>,</w:t>
            </w:r>
            <w:r w:rsidR="000E46CB" w:rsidRPr="0003093F">
              <w:rPr>
                <w:rFonts w:ascii="Corbel" w:hAnsi="Corbel"/>
                <w:sz w:val="20"/>
                <w:szCs w:val="20"/>
                <w:lang w:val="en-GB"/>
              </w:rPr>
              <w:t xml:space="preserve"> </w:t>
            </w:r>
            <w:r w:rsidR="005226A7" w:rsidRPr="0003093F">
              <w:rPr>
                <w:rFonts w:ascii="Corbel" w:hAnsi="Corbel"/>
                <w:sz w:val="20"/>
                <w:szCs w:val="20"/>
                <w:lang w:val="en-GB"/>
              </w:rPr>
              <w:t xml:space="preserve">disciplinary procedures </w:t>
            </w:r>
            <w:r w:rsidR="004B588E">
              <w:rPr>
                <w:rFonts w:ascii="Corbel" w:hAnsi="Corbel"/>
                <w:sz w:val="20"/>
                <w:szCs w:val="20"/>
                <w:lang w:val="en-GB"/>
              </w:rPr>
              <w:t>for</w:t>
            </w:r>
            <w:r w:rsidR="005226A7" w:rsidRPr="0003093F">
              <w:rPr>
                <w:rFonts w:ascii="Corbel" w:hAnsi="Corbel"/>
                <w:sz w:val="20"/>
                <w:szCs w:val="20"/>
                <w:lang w:val="en-GB"/>
              </w:rPr>
              <w:t xml:space="preserve"> breaches of commitments </w:t>
            </w:r>
            <w:r w:rsidR="004B588E">
              <w:rPr>
                <w:rFonts w:ascii="Corbel" w:hAnsi="Corbel"/>
                <w:sz w:val="20"/>
                <w:szCs w:val="20"/>
                <w:lang w:val="en-GB"/>
              </w:rPr>
              <w:t>(</w:t>
            </w:r>
            <w:r w:rsidR="000E46CB" w:rsidRPr="0003093F">
              <w:rPr>
                <w:rFonts w:ascii="Corbel" w:hAnsi="Corbel"/>
                <w:sz w:val="20"/>
                <w:szCs w:val="20"/>
                <w:lang w:val="en-GB"/>
              </w:rPr>
              <w:t xml:space="preserve">enacted with </w:t>
            </w:r>
            <w:r w:rsidR="003871D9" w:rsidRPr="0003093F">
              <w:rPr>
                <w:rFonts w:ascii="Corbel" w:hAnsi="Corbel"/>
                <w:sz w:val="20"/>
                <w:szCs w:val="20"/>
                <w:lang w:val="en-GB"/>
              </w:rPr>
              <w:t xml:space="preserve">ECOSOC </w:t>
            </w:r>
            <w:r w:rsidR="000E46CB" w:rsidRPr="0003093F">
              <w:rPr>
                <w:rFonts w:ascii="Corbel" w:hAnsi="Corbel"/>
                <w:sz w:val="20"/>
                <w:szCs w:val="20"/>
                <w:lang w:val="en-GB"/>
              </w:rPr>
              <w:t>resolution</w:t>
            </w:r>
            <w:r w:rsidR="003871D9">
              <w:rPr>
                <w:rFonts w:ascii="Corbel" w:hAnsi="Corbel"/>
                <w:sz w:val="20"/>
                <w:szCs w:val="20"/>
                <w:lang w:val="en-GB"/>
              </w:rPr>
              <w:t>s)</w:t>
            </w:r>
            <w:r w:rsidR="0003306E">
              <w:rPr>
                <w:rFonts w:ascii="Corbel" w:hAnsi="Corbel"/>
                <w:sz w:val="20"/>
                <w:szCs w:val="20"/>
                <w:lang w:val="en-GB"/>
              </w:rPr>
              <w:t>, and</w:t>
            </w:r>
            <w:r w:rsidR="009B396E">
              <w:rPr>
                <w:rFonts w:ascii="Corbel" w:hAnsi="Corbel"/>
                <w:sz w:val="20"/>
                <w:szCs w:val="20"/>
                <w:lang w:val="en-GB"/>
              </w:rPr>
              <w:t xml:space="preserve"> </w:t>
            </w:r>
            <w:r w:rsidR="00EF6274">
              <w:rPr>
                <w:rFonts w:ascii="Corbel" w:hAnsi="Corbel"/>
                <w:sz w:val="20"/>
                <w:szCs w:val="20"/>
                <w:lang w:val="en-GB"/>
              </w:rPr>
              <w:t>g</w:t>
            </w:r>
            <w:r w:rsidR="00EF6274" w:rsidRPr="0003093F">
              <w:rPr>
                <w:rFonts w:ascii="Corbel" w:hAnsi="Corbel"/>
                <w:sz w:val="20"/>
                <w:szCs w:val="20"/>
                <w:lang w:val="en-GB"/>
              </w:rPr>
              <w:t xml:space="preserve">uidelines </w:t>
            </w:r>
            <w:r w:rsidR="00EF6274" w:rsidRPr="0003093F">
              <w:rPr>
                <w:rFonts w:ascii="Corbel" w:hAnsi="Corbel"/>
                <w:sz w:val="20"/>
                <w:szCs w:val="20"/>
                <w:lang w:val="en-US"/>
              </w:rPr>
              <w:t>on</w:t>
            </w:r>
            <w:r w:rsidR="005226A7" w:rsidRPr="0003093F">
              <w:rPr>
                <w:rFonts w:ascii="Corbel" w:hAnsi="Corbel"/>
                <w:sz w:val="20"/>
                <w:szCs w:val="20"/>
                <w:lang w:val="en-US"/>
              </w:rPr>
              <w:t xml:space="preserve"> the cumulation of origin</w:t>
            </w:r>
            <w:r w:rsidR="00066D60">
              <w:rPr>
                <w:rFonts w:ascii="Corbel" w:hAnsi="Corbel"/>
                <w:sz w:val="20"/>
                <w:szCs w:val="20"/>
                <w:lang w:val="en-US"/>
              </w:rPr>
              <w:t>.</w:t>
            </w:r>
          </w:p>
          <w:p w14:paraId="76FF1D9F" w14:textId="034157BE" w:rsidR="0097348C" w:rsidRPr="00066D60" w:rsidRDefault="0097348C" w:rsidP="00AF18E7">
            <w:pPr>
              <w:pStyle w:val="ListParagraph"/>
              <w:tabs>
                <w:tab w:val="left" w:pos="0"/>
              </w:tabs>
              <w:spacing w:before="120"/>
              <w:ind w:left="0"/>
              <w:jc w:val="both"/>
              <w:rPr>
                <w:rFonts w:ascii="Corbel" w:hAnsi="Corbel"/>
                <w:sz w:val="20"/>
                <w:szCs w:val="20"/>
              </w:rPr>
            </w:pPr>
            <w:r>
              <w:rPr>
                <w:rFonts w:ascii="Corbel" w:hAnsi="Corbel"/>
                <w:sz w:val="20"/>
                <w:szCs w:val="20"/>
                <w:lang w:val="en-US"/>
              </w:rPr>
              <w:t xml:space="preserve">Additional instruments </w:t>
            </w:r>
            <w:r w:rsidR="00AF18E7">
              <w:rPr>
                <w:rFonts w:ascii="Corbel" w:hAnsi="Corbel"/>
                <w:sz w:val="20"/>
                <w:szCs w:val="20"/>
                <w:lang w:val="en-US"/>
              </w:rPr>
              <w:t xml:space="preserve">available </w:t>
            </w:r>
            <w:r w:rsidR="00E92A54">
              <w:rPr>
                <w:rFonts w:ascii="Corbel" w:hAnsi="Corbel"/>
                <w:sz w:val="20"/>
                <w:szCs w:val="20"/>
                <w:lang w:val="en-US"/>
              </w:rPr>
              <w:t>as</w:t>
            </w:r>
            <w:r w:rsidR="00AF18E7">
              <w:rPr>
                <w:rFonts w:ascii="Corbel" w:hAnsi="Corbel"/>
                <w:sz w:val="20"/>
                <w:szCs w:val="20"/>
                <w:lang w:val="en-US"/>
              </w:rPr>
              <w:t xml:space="preserve"> draft</w:t>
            </w:r>
            <w:r w:rsidR="00E92A54">
              <w:rPr>
                <w:rFonts w:ascii="Corbel" w:hAnsi="Corbel"/>
                <w:sz w:val="20"/>
                <w:szCs w:val="20"/>
                <w:lang w:val="en-US"/>
              </w:rPr>
              <w:t>s ready for negotiations</w:t>
            </w:r>
            <w:r w:rsidR="00AF18E7">
              <w:rPr>
                <w:rFonts w:ascii="Corbel" w:hAnsi="Corbel"/>
                <w:sz w:val="20"/>
                <w:szCs w:val="20"/>
                <w:lang w:val="en-US"/>
              </w:rPr>
              <w:t xml:space="preserve"> </w:t>
            </w:r>
            <w:r w:rsidR="003D12A7">
              <w:rPr>
                <w:rFonts w:ascii="Corbel" w:hAnsi="Corbel"/>
                <w:sz w:val="20"/>
                <w:szCs w:val="20"/>
                <w:lang w:val="en-US"/>
              </w:rPr>
              <w:t>include</w:t>
            </w:r>
            <w:r w:rsidR="00AF18E7">
              <w:rPr>
                <w:rFonts w:ascii="Corbel" w:hAnsi="Corbel"/>
                <w:sz w:val="20"/>
                <w:szCs w:val="20"/>
                <w:lang w:val="en-US"/>
              </w:rPr>
              <w:t xml:space="preserve"> </w:t>
            </w:r>
            <w:r w:rsidR="00EF6274">
              <w:rPr>
                <w:rFonts w:ascii="Corbel" w:hAnsi="Corbel"/>
                <w:sz w:val="20"/>
                <w:szCs w:val="20"/>
                <w:lang w:val="en-US"/>
              </w:rPr>
              <w:t>protocols</w:t>
            </w:r>
            <w:r w:rsidR="00AF18E7" w:rsidRPr="00AF18E7">
              <w:rPr>
                <w:rFonts w:ascii="Corbel" w:hAnsi="Corbel"/>
                <w:sz w:val="20"/>
                <w:szCs w:val="20"/>
              </w:rPr>
              <w:t xml:space="preserve"> on Dispute Settlement, Trade Facilitation, Protection of Intellectual Property </w:t>
            </w:r>
            <w:r w:rsidR="00EF6274" w:rsidRPr="00AF18E7">
              <w:rPr>
                <w:rFonts w:ascii="Corbel" w:hAnsi="Corbel"/>
                <w:sz w:val="20"/>
                <w:szCs w:val="20"/>
              </w:rPr>
              <w:t>Rights</w:t>
            </w:r>
            <w:r w:rsidR="00EF6274">
              <w:rPr>
                <w:rFonts w:ascii="Corbel" w:hAnsi="Corbel"/>
                <w:sz w:val="20"/>
                <w:szCs w:val="20"/>
                <w:lang w:val="en-US"/>
              </w:rPr>
              <w:t xml:space="preserve">, </w:t>
            </w:r>
            <w:r w:rsidR="00EF6274" w:rsidRPr="00AF18E7">
              <w:rPr>
                <w:rFonts w:ascii="Corbel" w:hAnsi="Corbel"/>
                <w:sz w:val="20"/>
                <w:szCs w:val="20"/>
                <w:lang w:val="en-US"/>
              </w:rPr>
              <w:t>and</w:t>
            </w:r>
            <w:r w:rsidR="00FA01F3">
              <w:rPr>
                <w:rFonts w:ascii="Corbel" w:hAnsi="Corbel"/>
                <w:sz w:val="20"/>
                <w:szCs w:val="20"/>
                <w:lang w:val="en-US"/>
              </w:rPr>
              <w:t xml:space="preserve"> </w:t>
            </w:r>
            <w:r w:rsidR="00AF18E7" w:rsidRPr="00AF18E7">
              <w:rPr>
                <w:rFonts w:ascii="Corbel" w:hAnsi="Corbel"/>
                <w:sz w:val="20"/>
                <w:szCs w:val="20"/>
                <w:lang w:val="en-US"/>
              </w:rPr>
              <w:t xml:space="preserve">regional regulations </w:t>
            </w:r>
            <w:r w:rsidR="00EF6274">
              <w:rPr>
                <w:rFonts w:ascii="Corbel" w:hAnsi="Corbel"/>
                <w:sz w:val="20"/>
                <w:szCs w:val="20"/>
                <w:lang w:val="en-US"/>
              </w:rPr>
              <w:t>for</w:t>
            </w:r>
            <w:r w:rsidR="00EF6274" w:rsidRPr="00AF18E7">
              <w:rPr>
                <w:rFonts w:ascii="Corbel" w:hAnsi="Corbel"/>
                <w:sz w:val="20"/>
                <w:szCs w:val="20"/>
                <w:lang w:val="en-US"/>
              </w:rPr>
              <w:t xml:space="preserve"> Consumers</w:t>
            </w:r>
            <w:r w:rsidR="00AF18E7" w:rsidRPr="00AF18E7">
              <w:rPr>
                <w:rFonts w:ascii="Corbel" w:hAnsi="Corbel"/>
                <w:sz w:val="20"/>
                <w:szCs w:val="20"/>
                <w:lang w:val="en-US"/>
              </w:rPr>
              <w:t>’ Protection</w:t>
            </w:r>
            <w:r w:rsidR="00636C82">
              <w:rPr>
                <w:rFonts w:ascii="Corbel" w:hAnsi="Corbel"/>
                <w:sz w:val="20"/>
                <w:szCs w:val="20"/>
                <w:lang w:val="en-US"/>
              </w:rPr>
              <w:t>.</w:t>
            </w:r>
          </w:p>
          <w:p w14:paraId="6E184B39" w14:textId="79F02C95" w:rsidR="00066D60" w:rsidRPr="0003093F" w:rsidRDefault="004D6260" w:rsidP="00066D60">
            <w:pPr>
              <w:pStyle w:val="ListParagraph"/>
              <w:tabs>
                <w:tab w:val="left" w:pos="0"/>
              </w:tabs>
              <w:spacing w:before="120"/>
              <w:ind w:left="0"/>
              <w:jc w:val="both"/>
              <w:rPr>
                <w:rFonts w:ascii="Corbel" w:hAnsi="Corbel"/>
                <w:sz w:val="20"/>
                <w:szCs w:val="20"/>
              </w:rPr>
            </w:pPr>
            <w:r>
              <w:rPr>
                <w:rFonts w:ascii="Corbel" w:hAnsi="Corbel"/>
                <w:sz w:val="20"/>
                <w:szCs w:val="20"/>
                <w:lang w:val="en-US"/>
              </w:rPr>
              <w:t>A</w:t>
            </w:r>
            <w:r w:rsidR="00066D60" w:rsidRPr="00066D60">
              <w:rPr>
                <w:rFonts w:ascii="Corbel" w:hAnsi="Corbel"/>
                <w:sz w:val="20"/>
                <w:szCs w:val="20"/>
                <w:lang w:val="en-US"/>
              </w:rPr>
              <w:t xml:space="preserve"> new template </w:t>
            </w:r>
            <w:r>
              <w:rPr>
                <w:rFonts w:ascii="Corbel" w:hAnsi="Corbel"/>
                <w:sz w:val="20"/>
                <w:szCs w:val="20"/>
                <w:lang w:val="en-US"/>
              </w:rPr>
              <w:t xml:space="preserve">for </w:t>
            </w:r>
            <w:r w:rsidR="00066D60" w:rsidRPr="00066D60">
              <w:rPr>
                <w:rFonts w:ascii="Corbel" w:hAnsi="Corbel"/>
                <w:sz w:val="20"/>
                <w:szCs w:val="20"/>
                <w:lang w:val="en-US"/>
              </w:rPr>
              <w:t xml:space="preserve">reporting progress on economic integration </w:t>
            </w:r>
            <w:r>
              <w:rPr>
                <w:rFonts w:ascii="Corbel" w:hAnsi="Corbel"/>
                <w:sz w:val="20"/>
                <w:szCs w:val="20"/>
                <w:lang w:val="en-US"/>
              </w:rPr>
              <w:t xml:space="preserve">among </w:t>
            </w:r>
            <w:r w:rsidRPr="00066D60">
              <w:rPr>
                <w:rFonts w:ascii="Corbel" w:hAnsi="Corbel"/>
                <w:sz w:val="20"/>
                <w:szCs w:val="20"/>
                <w:lang w:val="en-US"/>
              </w:rPr>
              <w:t xml:space="preserve">PAFTA </w:t>
            </w:r>
            <w:r w:rsidR="00066D60" w:rsidRPr="00066D60">
              <w:rPr>
                <w:rFonts w:ascii="Corbel" w:hAnsi="Corbel"/>
                <w:sz w:val="20"/>
                <w:szCs w:val="20"/>
                <w:lang w:val="en-US"/>
              </w:rPr>
              <w:t>members operationalized in 2020</w:t>
            </w:r>
            <w:r>
              <w:rPr>
                <w:rFonts w:ascii="Corbel" w:hAnsi="Corbel"/>
                <w:sz w:val="20"/>
                <w:szCs w:val="20"/>
                <w:lang w:val="en-US"/>
              </w:rPr>
              <w:t xml:space="preserve"> allow</w:t>
            </w:r>
            <w:r w:rsidR="00B75885">
              <w:rPr>
                <w:rFonts w:ascii="Corbel" w:hAnsi="Corbel"/>
                <w:sz w:val="20"/>
                <w:szCs w:val="20"/>
                <w:lang w:val="en-US"/>
              </w:rPr>
              <w:t xml:space="preserve">s a better tracking of PAFTA </w:t>
            </w:r>
            <w:r w:rsidR="003D12A7">
              <w:rPr>
                <w:rFonts w:ascii="Corbel" w:hAnsi="Corbel"/>
                <w:sz w:val="20"/>
                <w:szCs w:val="20"/>
                <w:lang w:val="en-US"/>
              </w:rPr>
              <w:t>implementation.</w:t>
            </w:r>
          </w:p>
          <w:p w14:paraId="315E877F" w14:textId="77777777" w:rsidR="00394098" w:rsidRPr="0003093F" w:rsidRDefault="00394098" w:rsidP="000B6A68">
            <w:pPr>
              <w:spacing w:before="120"/>
              <w:rPr>
                <w:rFonts w:ascii="Corbel" w:hAnsi="Corbel"/>
                <w:sz w:val="20"/>
                <w:szCs w:val="20"/>
              </w:rPr>
            </w:pPr>
          </w:p>
          <w:p w14:paraId="4BF0F9B3" w14:textId="613D7F71" w:rsidR="00286A9E" w:rsidRPr="0003093F" w:rsidRDefault="094C79AD" w:rsidP="006444AB">
            <w:pPr>
              <w:spacing w:before="120"/>
              <w:rPr>
                <w:rFonts w:ascii="Corbel" w:hAnsi="Corbel"/>
                <w:sz w:val="20"/>
                <w:szCs w:val="20"/>
              </w:rPr>
            </w:pPr>
            <w:r w:rsidRPr="4F6DD0A6">
              <w:rPr>
                <w:rFonts w:ascii="Corbel" w:hAnsi="Corbel"/>
                <w:sz w:val="20"/>
                <w:szCs w:val="20"/>
              </w:rPr>
              <w:t>1.1.1</w:t>
            </w:r>
            <w:r w:rsidR="7ACDB35B" w:rsidRPr="4F6DD0A6">
              <w:rPr>
                <w:rFonts w:ascii="Corbel" w:hAnsi="Corbel"/>
                <w:sz w:val="20"/>
                <w:szCs w:val="20"/>
              </w:rPr>
              <w:t>.</w:t>
            </w:r>
            <w:r w:rsidR="4C49E5BA" w:rsidRPr="4F6DD0A6">
              <w:rPr>
                <w:rFonts w:ascii="Corbel" w:hAnsi="Corbel"/>
                <w:sz w:val="20"/>
                <w:szCs w:val="20"/>
              </w:rPr>
              <w:t>6</w:t>
            </w:r>
            <w:r w:rsidR="1384AB07" w:rsidRPr="4F6DD0A6">
              <w:rPr>
                <w:rFonts w:ascii="Corbel" w:hAnsi="Corbel"/>
                <w:sz w:val="20"/>
                <w:szCs w:val="20"/>
              </w:rPr>
              <w:t xml:space="preserve"> </w:t>
            </w:r>
            <w:r w:rsidR="2FFBB108" w:rsidRPr="4F6DD0A6">
              <w:rPr>
                <w:rFonts w:ascii="Corbel" w:hAnsi="Corbel"/>
                <w:sz w:val="20"/>
                <w:szCs w:val="20"/>
              </w:rPr>
              <w:t>assessments</w:t>
            </w:r>
            <w:r w:rsidR="4C49E5BA" w:rsidRPr="4F6DD0A6">
              <w:rPr>
                <w:rFonts w:ascii="Corbel" w:hAnsi="Corbel"/>
                <w:sz w:val="20"/>
                <w:szCs w:val="20"/>
              </w:rPr>
              <w:t xml:space="preserve"> of impacts of the ACU membership on fiscal revenues, industrial policies, protection of infant industries</w:t>
            </w:r>
            <w:r w:rsidR="71C6B62F" w:rsidRPr="4F6DD0A6">
              <w:rPr>
                <w:rFonts w:ascii="Corbel" w:hAnsi="Corbel"/>
                <w:sz w:val="20"/>
                <w:szCs w:val="20"/>
              </w:rPr>
              <w:t>,</w:t>
            </w:r>
            <w:r w:rsidR="4C49E5BA" w:rsidRPr="4F6DD0A6">
              <w:rPr>
                <w:rFonts w:ascii="Corbel" w:hAnsi="Corbel"/>
                <w:sz w:val="20"/>
                <w:szCs w:val="20"/>
              </w:rPr>
              <w:t xml:space="preserve"> and promotion of domestic industries</w:t>
            </w:r>
            <w:r w:rsidR="1384AB07" w:rsidRPr="4F6DD0A6">
              <w:rPr>
                <w:rFonts w:ascii="Corbel" w:hAnsi="Corbel"/>
                <w:sz w:val="20"/>
                <w:szCs w:val="20"/>
              </w:rPr>
              <w:t xml:space="preserve"> completed</w:t>
            </w:r>
            <w:r w:rsidR="4C49E5BA" w:rsidRPr="4F6DD0A6">
              <w:rPr>
                <w:rFonts w:ascii="Corbel" w:hAnsi="Corbel"/>
                <w:sz w:val="20"/>
                <w:szCs w:val="20"/>
              </w:rPr>
              <w:t>. S</w:t>
            </w:r>
            <w:r w:rsidR="71C6B62F" w:rsidRPr="4F6DD0A6">
              <w:rPr>
                <w:rFonts w:ascii="Corbel" w:hAnsi="Corbel"/>
                <w:sz w:val="20"/>
                <w:szCs w:val="20"/>
              </w:rPr>
              <w:t>upport</w:t>
            </w:r>
            <w:r w:rsidR="4C49E5BA" w:rsidRPr="4F6DD0A6">
              <w:rPr>
                <w:rFonts w:ascii="Corbel" w:hAnsi="Corbel"/>
                <w:sz w:val="20"/>
                <w:szCs w:val="20"/>
              </w:rPr>
              <w:t xml:space="preserve"> for ACU negotiations and the draft ACU Agreement was presented to LAS/Economic Sector</w:t>
            </w:r>
            <w:r w:rsidR="38DEB5E3" w:rsidRPr="4F6DD0A6">
              <w:rPr>
                <w:rFonts w:ascii="Corbel" w:hAnsi="Corbel"/>
                <w:sz w:val="20"/>
                <w:szCs w:val="20"/>
              </w:rPr>
              <w:t>.</w:t>
            </w:r>
          </w:p>
          <w:p w14:paraId="43357652" w14:textId="77777777" w:rsidR="00F400F4" w:rsidRDefault="00F400F4" w:rsidP="00E773A8">
            <w:pPr>
              <w:widowControl w:val="0"/>
              <w:spacing w:before="120" w:line="260" w:lineRule="exact"/>
              <w:outlineLvl w:val="0"/>
              <w:rPr>
                <w:rFonts w:ascii="Corbel" w:eastAsia="Times New Roman" w:hAnsi="Corbel" w:cs="Arial"/>
                <w:sz w:val="20"/>
                <w:szCs w:val="20"/>
                <w:lang w:eastAsia="en-US"/>
              </w:rPr>
            </w:pPr>
          </w:p>
          <w:p w14:paraId="74F23645" w14:textId="77777777" w:rsidR="00F400F4" w:rsidRDefault="00F400F4" w:rsidP="00E773A8">
            <w:pPr>
              <w:widowControl w:val="0"/>
              <w:spacing w:before="120" w:line="260" w:lineRule="exact"/>
              <w:outlineLvl w:val="0"/>
              <w:rPr>
                <w:rFonts w:ascii="Corbel" w:eastAsia="Times New Roman" w:hAnsi="Corbel" w:cs="Arial"/>
                <w:sz w:val="20"/>
                <w:szCs w:val="20"/>
                <w:lang w:eastAsia="en-US"/>
              </w:rPr>
            </w:pPr>
          </w:p>
          <w:p w14:paraId="1A8C8979" w14:textId="7508FD81" w:rsidR="00C576AC" w:rsidRPr="0003093F" w:rsidRDefault="007B26FB" w:rsidP="00E773A8">
            <w:pPr>
              <w:widowControl w:val="0"/>
              <w:spacing w:before="120" w:line="260" w:lineRule="exact"/>
              <w:outlineLvl w:val="0"/>
              <w:rPr>
                <w:rFonts w:ascii="Corbel" w:eastAsia="Times New Roman" w:hAnsi="Corbel" w:cs="Arial"/>
                <w:sz w:val="20"/>
                <w:szCs w:val="20"/>
                <w:lang w:val="en-GB" w:eastAsia="en-US"/>
              </w:rPr>
            </w:pPr>
            <w:bookmarkStart w:id="116" w:name="_Toc103506652"/>
            <w:r w:rsidRPr="0003093F">
              <w:rPr>
                <w:rFonts w:ascii="Corbel" w:eastAsia="Times New Roman" w:hAnsi="Corbel" w:cs="Arial"/>
                <w:sz w:val="20"/>
                <w:szCs w:val="20"/>
                <w:lang w:val="en-GB" w:eastAsia="en-US"/>
              </w:rPr>
              <w:t xml:space="preserve">1.1.2 </w:t>
            </w:r>
            <w:r w:rsidR="00C52E74" w:rsidRPr="0003093F">
              <w:rPr>
                <w:rFonts w:ascii="Corbel" w:eastAsia="Times New Roman" w:hAnsi="Corbel" w:cs="Arial"/>
                <w:sz w:val="20"/>
                <w:szCs w:val="20"/>
                <w:lang w:val="en-GB" w:eastAsia="en-US"/>
              </w:rPr>
              <w:t>Technical models of governance included in the draft Agreement</w:t>
            </w:r>
            <w:r w:rsidR="00810E99" w:rsidRPr="0003093F">
              <w:rPr>
                <w:rFonts w:ascii="Corbel" w:eastAsia="Times New Roman" w:hAnsi="Corbel" w:cs="Arial"/>
                <w:sz w:val="20"/>
                <w:szCs w:val="20"/>
                <w:lang w:val="en-GB" w:eastAsia="en-US"/>
              </w:rPr>
              <w:t>s</w:t>
            </w:r>
            <w:r w:rsidR="00286A9E" w:rsidRPr="0003093F">
              <w:rPr>
                <w:rFonts w:ascii="Corbel" w:eastAsia="Times New Roman" w:hAnsi="Corbel" w:cs="Arial"/>
                <w:sz w:val="20"/>
                <w:szCs w:val="20"/>
                <w:lang w:val="en-GB" w:eastAsia="en-US"/>
              </w:rPr>
              <w:t xml:space="preserve"> and in </w:t>
            </w:r>
            <w:r w:rsidR="008823F7">
              <w:rPr>
                <w:rFonts w:ascii="Corbel" w:eastAsia="Times New Roman" w:hAnsi="Corbel" w:cs="Arial"/>
                <w:sz w:val="20"/>
                <w:szCs w:val="20"/>
                <w:lang w:val="en-GB" w:eastAsia="en-US"/>
              </w:rPr>
              <w:t xml:space="preserve">the </w:t>
            </w:r>
            <w:r w:rsidR="00286A9E" w:rsidRPr="0003093F">
              <w:rPr>
                <w:rFonts w:ascii="Corbel" w:eastAsia="Times New Roman" w:hAnsi="Corbel" w:cs="Arial"/>
                <w:sz w:val="20"/>
                <w:szCs w:val="20"/>
                <w:lang w:val="en-GB" w:eastAsia="en-US"/>
              </w:rPr>
              <w:t>draft Protocol to upgrade PAFTA</w:t>
            </w:r>
            <w:r w:rsidR="00810E99" w:rsidRPr="0003093F">
              <w:rPr>
                <w:rFonts w:ascii="Corbel" w:eastAsia="Times New Roman" w:hAnsi="Corbel" w:cs="Arial"/>
                <w:sz w:val="20"/>
                <w:szCs w:val="20"/>
                <w:lang w:val="en-GB" w:eastAsia="en-US"/>
              </w:rPr>
              <w:t>.</w:t>
            </w:r>
            <w:r w:rsidR="00286A9E" w:rsidRPr="0003093F">
              <w:rPr>
                <w:rFonts w:ascii="Corbel" w:eastAsia="Times New Roman" w:hAnsi="Corbel" w:cs="Arial"/>
                <w:sz w:val="20"/>
                <w:szCs w:val="20"/>
                <w:lang w:val="en-GB" w:eastAsia="en-US"/>
              </w:rPr>
              <w:t xml:space="preserve"> </w:t>
            </w:r>
            <w:r w:rsidR="00B236A5">
              <w:rPr>
                <w:rFonts w:ascii="Corbel" w:eastAsia="Times New Roman" w:hAnsi="Corbel" w:cs="Arial"/>
                <w:sz w:val="20"/>
                <w:szCs w:val="20"/>
                <w:lang w:val="en-GB" w:eastAsia="en-US"/>
              </w:rPr>
              <w:t>LAS member states</w:t>
            </w:r>
            <w:r w:rsidR="00C80AA3" w:rsidRPr="0003093F">
              <w:rPr>
                <w:rFonts w:ascii="Corbel" w:eastAsia="Times New Roman" w:hAnsi="Corbel" w:cs="Arial"/>
                <w:sz w:val="20"/>
                <w:szCs w:val="20"/>
                <w:lang w:val="en-GB" w:eastAsia="en-US"/>
              </w:rPr>
              <w:t xml:space="preserve"> adopted the proposed governance framework of the draft trade facilitation protocol.</w:t>
            </w:r>
            <w:bookmarkEnd w:id="116"/>
          </w:p>
        </w:tc>
      </w:tr>
      <w:tr w:rsidR="00E3285C" w:rsidRPr="0003093F" w14:paraId="0BC7F8A1" w14:textId="77777777" w:rsidTr="4F6DD0A6">
        <w:trPr>
          <w:trHeight w:val="412"/>
          <w:jc w:val="center"/>
        </w:trPr>
        <w:tc>
          <w:tcPr>
            <w:tcW w:w="2997" w:type="dxa"/>
            <w:shd w:val="clear" w:color="auto" w:fill="auto"/>
          </w:tcPr>
          <w:p w14:paraId="0F51A07A" w14:textId="25B16E7A" w:rsidR="00E3285C" w:rsidRPr="0003093F" w:rsidRDefault="00E3285C" w:rsidP="00E773A8">
            <w:pPr>
              <w:spacing w:before="120" w:line="260" w:lineRule="exact"/>
              <w:jc w:val="both"/>
              <w:rPr>
                <w:rFonts w:ascii="Corbel" w:hAnsi="Corbel" w:cstheme="minorHAnsi"/>
                <w:sz w:val="20"/>
                <w:szCs w:val="20"/>
                <w:lang w:val="en-GB"/>
              </w:rPr>
            </w:pPr>
            <w:r w:rsidRPr="0003093F">
              <w:rPr>
                <w:rFonts w:ascii="Corbel" w:hAnsi="Corbel" w:cstheme="minorHAnsi"/>
                <w:sz w:val="20"/>
                <w:szCs w:val="20"/>
                <w:u w:val="single"/>
                <w:lang w:val="en-GB"/>
              </w:rPr>
              <w:lastRenderedPageBreak/>
              <w:t>Indicator 1.2:</w:t>
            </w:r>
            <w:r w:rsidRPr="0003093F">
              <w:rPr>
                <w:rFonts w:ascii="Corbel" w:hAnsi="Corbel" w:cstheme="minorHAnsi"/>
                <w:sz w:val="20"/>
                <w:szCs w:val="20"/>
                <w:lang w:val="en-GB"/>
              </w:rPr>
              <w:t xml:space="preserve"> Availability of a mechanism for consultations among Member States on an Arab economic integration framework</w:t>
            </w:r>
            <w:r w:rsidR="00E773A8" w:rsidRPr="0003093F">
              <w:rPr>
                <w:rFonts w:ascii="Corbel" w:hAnsi="Corbel" w:cstheme="minorHAnsi"/>
                <w:sz w:val="20"/>
                <w:szCs w:val="20"/>
                <w:lang w:val="en-GB"/>
              </w:rPr>
              <w:t>.</w:t>
            </w:r>
          </w:p>
          <w:p w14:paraId="00B820DE" w14:textId="2691014A" w:rsidR="00E3285C" w:rsidRPr="0003093F" w:rsidRDefault="00E3285C" w:rsidP="00E773A8">
            <w:pPr>
              <w:widowControl w:val="0"/>
              <w:spacing w:before="120" w:line="260" w:lineRule="exact"/>
              <w:outlineLvl w:val="0"/>
              <w:rPr>
                <w:rFonts w:ascii="Corbel" w:eastAsia="Times New Roman" w:hAnsi="Corbel"/>
                <w:bCs/>
                <w:color w:val="000000"/>
                <w:sz w:val="20"/>
                <w:szCs w:val="20"/>
                <w:lang w:val="en-GB" w:eastAsia="x-none"/>
              </w:rPr>
            </w:pPr>
          </w:p>
        </w:tc>
        <w:tc>
          <w:tcPr>
            <w:tcW w:w="3089" w:type="dxa"/>
            <w:shd w:val="clear" w:color="auto" w:fill="auto"/>
          </w:tcPr>
          <w:p w14:paraId="0575DD07" w14:textId="573281DF" w:rsidR="001B0E2F" w:rsidRPr="0003093F" w:rsidRDefault="001B0E2F" w:rsidP="00E773A8">
            <w:pPr>
              <w:widowControl w:val="0"/>
              <w:spacing w:before="120" w:line="260" w:lineRule="exact"/>
              <w:ind w:left="99"/>
              <w:outlineLvl w:val="0"/>
              <w:rPr>
                <w:rFonts w:ascii="Corbel" w:hAnsi="Corbel" w:cstheme="minorHAnsi"/>
                <w:sz w:val="20"/>
                <w:szCs w:val="20"/>
                <w:u w:val="single"/>
                <w:lang w:val="en-GB"/>
              </w:rPr>
            </w:pPr>
            <w:bookmarkStart w:id="117" w:name="_Toc103506653"/>
            <w:r w:rsidRPr="0003093F">
              <w:rPr>
                <w:rFonts w:ascii="Corbel" w:hAnsi="Corbel" w:cstheme="minorHAnsi"/>
                <w:sz w:val="20"/>
                <w:szCs w:val="20"/>
                <w:u w:val="single"/>
                <w:lang w:val="en-GB"/>
              </w:rPr>
              <w:t xml:space="preserve">Baseline 1.2: </w:t>
            </w:r>
            <w:r w:rsidRPr="0003093F">
              <w:rPr>
                <w:rFonts w:ascii="Corbel" w:hAnsi="Corbel" w:cstheme="minorHAnsi"/>
                <w:sz w:val="20"/>
                <w:szCs w:val="20"/>
                <w:lang w:val="en-GB"/>
              </w:rPr>
              <w:t>Lack of a consultation modality among Member States on how to improve regional economic development initiatives</w:t>
            </w:r>
            <w:bookmarkEnd w:id="117"/>
          </w:p>
          <w:p w14:paraId="32D198BA" w14:textId="7BB008FC" w:rsidR="007958CF" w:rsidRPr="0003093F" w:rsidRDefault="00E3285C" w:rsidP="00E773A8">
            <w:pPr>
              <w:widowControl w:val="0"/>
              <w:spacing w:before="120" w:line="260" w:lineRule="exact"/>
              <w:ind w:left="99"/>
              <w:outlineLvl w:val="0"/>
              <w:rPr>
                <w:rFonts w:ascii="Corbel" w:hAnsi="Corbel" w:cstheme="minorHAnsi"/>
                <w:sz w:val="20"/>
                <w:szCs w:val="20"/>
                <w:lang w:val="en-GB"/>
              </w:rPr>
            </w:pPr>
            <w:bookmarkStart w:id="118" w:name="_Toc103506654"/>
            <w:r w:rsidRPr="0003093F">
              <w:rPr>
                <w:rFonts w:ascii="Corbel" w:hAnsi="Corbel" w:cstheme="minorHAnsi"/>
                <w:sz w:val="20"/>
                <w:szCs w:val="20"/>
                <w:u w:val="single"/>
                <w:lang w:val="en-GB"/>
              </w:rPr>
              <w:t>Target 1.2:</w:t>
            </w:r>
            <w:r w:rsidR="00B42D1B" w:rsidRPr="0003093F">
              <w:rPr>
                <w:rFonts w:asciiTheme="minorHAnsi" w:hAnsiTheme="minorHAnsi" w:cstheme="minorHAnsi"/>
                <w:sz w:val="20"/>
                <w:szCs w:val="20"/>
              </w:rPr>
              <w:t xml:space="preserve"> </w:t>
            </w:r>
            <w:r w:rsidR="00B42D1B" w:rsidRPr="0003093F">
              <w:rPr>
                <w:rFonts w:ascii="Corbel" w:hAnsi="Corbel" w:cstheme="minorHAnsi"/>
                <w:sz w:val="20"/>
                <w:szCs w:val="20"/>
              </w:rPr>
              <w:t>A consultation mechanism is established to gather understanding of matters of interest to four to five Member States on issues of regional economic integration</w:t>
            </w:r>
            <w:r w:rsidR="00E773A8" w:rsidRPr="0003093F">
              <w:rPr>
                <w:rFonts w:ascii="Corbel" w:hAnsi="Corbel" w:cstheme="minorHAnsi"/>
                <w:sz w:val="20"/>
                <w:szCs w:val="20"/>
                <w:lang w:val="en-GB"/>
              </w:rPr>
              <w:t>.</w:t>
            </w:r>
            <w:bookmarkEnd w:id="118"/>
          </w:p>
        </w:tc>
        <w:tc>
          <w:tcPr>
            <w:tcW w:w="3685" w:type="dxa"/>
            <w:shd w:val="clear" w:color="auto" w:fill="auto"/>
          </w:tcPr>
          <w:p w14:paraId="2DDCD444" w14:textId="5E19DFFD" w:rsidR="005C3353" w:rsidRPr="0003093F" w:rsidRDefault="00EE50C3" w:rsidP="000168EC">
            <w:pPr>
              <w:pStyle w:val="ListParagraph"/>
              <w:widowControl w:val="0"/>
              <w:numPr>
                <w:ilvl w:val="1"/>
                <w:numId w:val="7"/>
              </w:numPr>
              <w:spacing w:before="120" w:line="260" w:lineRule="exact"/>
              <w:ind w:left="0" w:firstLine="0"/>
              <w:outlineLvl w:val="0"/>
              <w:rPr>
                <w:rFonts w:ascii="Corbel" w:hAnsi="Corbel" w:cs="Arial"/>
                <w:sz w:val="20"/>
                <w:szCs w:val="20"/>
                <w:lang w:val="en-GB" w:eastAsia="en-US"/>
              </w:rPr>
            </w:pPr>
            <w:bookmarkStart w:id="119" w:name="_Toc103506655"/>
            <w:r>
              <w:rPr>
                <w:rFonts w:ascii="Corbel" w:hAnsi="Corbel" w:cs="Arial"/>
                <w:sz w:val="20"/>
                <w:szCs w:val="20"/>
                <w:lang w:val="en-GB" w:eastAsia="en-US"/>
              </w:rPr>
              <w:t>A proposal for a</w:t>
            </w:r>
            <w:r w:rsidR="005504DC" w:rsidRPr="0003093F">
              <w:rPr>
                <w:rFonts w:ascii="Corbel" w:hAnsi="Corbel" w:cs="Arial"/>
                <w:sz w:val="20"/>
                <w:szCs w:val="20"/>
                <w:lang w:val="en-GB" w:eastAsia="en-US"/>
              </w:rPr>
              <w:t xml:space="preserve"> consultation mechanism was presented to LAS/Economic </w:t>
            </w:r>
            <w:r w:rsidR="003D12A7" w:rsidRPr="0003093F">
              <w:rPr>
                <w:rFonts w:ascii="Corbel" w:hAnsi="Corbel" w:cs="Arial"/>
                <w:sz w:val="20"/>
                <w:szCs w:val="20"/>
                <w:lang w:val="en-GB" w:eastAsia="en-US"/>
              </w:rPr>
              <w:t>Sector</w:t>
            </w:r>
            <w:r w:rsidR="003D12A7">
              <w:rPr>
                <w:rFonts w:ascii="Corbel" w:hAnsi="Corbel" w:cs="Arial"/>
                <w:sz w:val="20"/>
                <w:szCs w:val="20"/>
                <w:lang w:val="en-GB" w:eastAsia="en-US"/>
              </w:rPr>
              <w:t>, but</w:t>
            </w:r>
            <w:r>
              <w:rPr>
                <w:rFonts w:ascii="Corbel" w:hAnsi="Corbel" w:cs="Arial"/>
                <w:sz w:val="20"/>
                <w:szCs w:val="20"/>
                <w:lang w:val="en-GB" w:eastAsia="en-US"/>
              </w:rPr>
              <w:t xml:space="preserve"> it has not been adopted yet</w:t>
            </w:r>
            <w:r w:rsidR="000B4458">
              <w:rPr>
                <w:rFonts w:ascii="Corbel" w:hAnsi="Corbel" w:cs="Arial"/>
                <w:sz w:val="20"/>
                <w:szCs w:val="20"/>
                <w:lang w:val="en-GB" w:eastAsia="en-US"/>
              </w:rPr>
              <w:t>. During implementation,</w:t>
            </w:r>
            <w:r w:rsidR="005504DC" w:rsidRPr="0003093F">
              <w:rPr>
                <w:rFonts w:ascii="Corbel" w:hAnsi="Corbel" w:cs="Arial"/>
                <w:sz w:val="20"/>
                <w:szCs w:val="20"/>
                <w:lang w:val="en-GB" w:eastAsia="en-US"/>
              </w:rPr>
              <w:t xml:space="preserve"> </w:t>
            </w:r>
            <w:r w:rsidR="000B4458">
              <w:rPr>
                <w:rFonts w:ascii="Corbel" w:hAnsi="Corbel" w:cs="Arial"/>
                <w:sz w:val="20"/>
                <w:szCs w:val="20"/>
                <w:lang w:val="en-GB" w:eastAsia="en-US"/>
              </w:rPr>
              <w:t>t</w:t>
            </w:r>
            <w:r w:rsidR="00286A9E" w:rsidRPr="0003093F">
              <w:rPr>
                <w:rFonts w:ascii="Corbel" w:hAnsi="Corbel" w:cs="Arial"/>
                <w:sz w:val="20"/>
                <w:szCs w:val="20"/>
                <w:lang w:val="en-GB" w:eastAsia="en-US"/>
              </w:rPr>
              <w:t xml:space="preserve">he project </w:t>
            </w:r>
            <w:r w:rsidR="000B4458">
              <w:rPr>
                <w:rFonts w:ascii="Corbel" w:hAnsi="Corbel" w:cs="Arial"/>
                <w:sz w:val="20"/>
                <w:szCs w:val="20"/>
                <w:lang w:val="en-GB" w:eastAsia="en-US"/>
              </w:rPr>
              <w:t>developed the capacity of the</w:t>
            </w:r>
            <w:r w:rsidR="00286A9E" w:rsidRPr="0003093F">
              <w:rPr>
                <w:rFonts w:ascii="Corbel" w:hAnsi="Corbel" w:cs="Arial"/>
                <w:sz w:val="20"/>
                <w:szCs w:val="20"/>
                <w:lang w:val="en-GB" w:eastAsia="en-US"/>
              </w:rPr>
              <w:t xml:space="preserve"> LAS Technical Secretariat to prepare documentation</w:t>
            </w:r>
            <w:r w:rsidR="009226CF" w:rsidRPr="0003093F">
              <w:rPr>
                <w:rFonts w:ascii="Corbel" w:hAnsi="Corbel" w:cs="Arial"/>
                <w:sz w:val="20"/>
                <w:szCs w:val="20"/>
                <w:lang w:val="en-GB" w:eastAsia="en-US"/>
              </w:rPr>
              <w:t xml:space="preserve"> for regional consultations.</w:t>
            </w:r>
            <w:bookmarkEnd w:id="119"/>
            <w:r w:rsidR="009226CF" w:rsidRPr="0003093F">
              <w:rPr>
                <w:rFonts w:ascii="Corbel" w:hAnsi="Corbel" w:cs="Arial"/>
                <w:sz w:val="20"/>
                <w:szCs w:val="20"/>
                <w:lang w:val="en-GB" w:eastAsia="en-US"/>
              </w:rPr>
              <w:t xml:space="preserve"> </w:t>
            </w:r>
          </w:p>
        </w:tc>
      </w:tr>
      <w:tr w:rsidR="00E3285C" w:rsidRPr="0003093F" w14:paraId="514707B3" w14:textId="77777777" w:rsidTr="4F6DD0A6">
        <w:trPr>
          <w:trHeight w:val="412"/>
          <w:jc w:val="center"/>
        </w:trPr>
        <w:tc>
          <w:tcPr>
            <w:tcW w:w="2997" w:type="dxa"/>
            <w:shd w:val="clear" w:color="auto" w:fill="auto"/>
          </w:tcPr>
          <w:p w14:paraId="28A9A8DE" w14:textId="6CAB42B3" w:rsidR="00CA7E3B" w:rsidRPr="0003093F" w:rsidRDefault="00CA7E3B" w:rsidP="00E773A8">
            <w:pPr>
              <w:spacing w:before="120" w:line="260" w:lineRule="exact"/>
              <w:jc w:val="both"/>
              <w:rPr>
                <w:rFonts w:ascii="Corbel" w:hAnsi="Corbel" w:cstheme="minorHAnsi"/>
                <w:sz w:val="20"/>
                <w:szCs w:val="20"/>
                <w:lang w:val="en-GB"/>
              </w:rPr>
            </w:pPr>
            <w:r w:rsidRPr="0003093F">
              <w:rPr>
                <w:rFonts w:ascii="Corbel" w:hAnsi="Corbel" w:cstheme="minorHAnsi"/>
                <w:sz w:val="20"/>
                <w:szCs w:val="20"/>
                <w:u w:val="single"/>
                <w:lang w:val="en-GB"/>
              </w:rPr>
              <w:lastRenderedPageBreak/>
              <w:t>Indicator 1.3</w:t>
            </w:r>
            <w:r w:rsidRPr="0003093F">
              <w:rPr>
                <w:rFonts w:ascii="Corbel" w:hAnsi="Corbel" w:cstheme="minorHAnsi"/>
                <w:sz w:val="20"/>
                <w:szCs w:val="20"/>
                <w:lang w:val="en-GB"/>
              </w:rPr>
              <w:t xml:space="preserve">: </w:t>
            </w:r>
            <w:r w:rsidR="004B1DD2" w:rsidRPr="0003093F">
              <w:rPr>
                <w:rFonts w:ascii="Corbel" w:hAnsi="Corbel" w:cstheme="minorHAnsi"/>
                <w:sz w:val="20"/>
                <w:szCs w:val="20"/>
                <w:lang w:val="en-GB"/>
              </w:rPr>
              <w:t>E</w:t>
            </w:r>
            <w:r w:rsidRPr="0003093F">
              <w:rPr>
                <w:rFonts w:ascii="Corbel" w:hAnsi="Corbel" w:cstheme="minorHAnsi"/>
                <w:sz w:val="20"/>
                <w:szCs w:val="20"/>
                <w:lang w:val="en-GB"/>
              </w:rPr>
              <w:t>xtent of expertise mobilized through the UN System and other international organizations to support Arab economic integration</w:t>
            </w:r>
            <w:r w:rsidR="00E773A8" w:rsidRPr="0003093F">
              <w:rPr>
                <w:rFonts w:ascii="Corbel" w:hAnsi="Corbel" w:cstheme="minorHAnsi"/>
                <w:sz w:val="20"/>
                <w:szCs w:val="20"/>
                <w:lang w:val="en-GB"/>
              </w:rPr>
              <w:t>.</w:t>
            </w:r>
          </w:p>
          <w:p w14:paraId="489C07B6" w14:textId="6DEA04B5" w:rsidR="00E3285C" w:rsidRPr="0003093F" w:rsidRDefault="00E3285C" w:rsidP="00E773A8">
            <w:pPr>
              <w:widowControl w:val="0"/>
              <w:spacing w:before="120" w:line="260" w:lineRule="exact"/>
              <w:outlineLvl w:val="0"/>
              <w:rPr>
                <w:rFonts w:ascii="Corbel" w:eastAsia="Times New Roman" w:hAnsi="Corbel"/>
                <w:bCs/>
                <w:color w:val="000000"/>
                <w:sz w:val="20"/>
                <w:szCs w:val="20"/>
                <w:lang w:val="en-GB" w:eastAsia="x-none"/>
              </w:rPr>
            </w:pPr>
          </w:p>
        </w:tc>
        <w:tc>
          <w:tcPr>
            <w:tcW w:w="3089" w:type="dxa"/>
            <w:shd w:val="clear" w:color="auto" w:fill="auto"/>
          </w:tcPr>
          <w:p w14:paraId="049B3BAA" w14:textId="6574D3A5" w:rsidR="007958CF" w:rsidRPr="0003093F" w:rsidRDefault="007958CF" w:rsidP="00E773A8">
            <w:pPr>
              <w:widowControl w:val="0"/>
              <w:spacing w:before="120" w:line="260" w:lineRule="exact"/>
              <w:ind w:left="99"/>
              <w:outlineLvl w:val="0"/>
              <w:rPr>
                <w:rFonts w:ascii="Corbel" w:hAnsi="Corbel" w:cstheme="minorHAnsi"/>
                <w:sz w:val="20"/>
                <w:szCs w:val="20"/>
                <w:lang w:val="en-GB"/>
              </w:rPr>
            </w:pPr>
            <w:bookmarkStart w:id="120" w:name="_Toc103506656"/>
            <w:r w:rsidRPr="0003093F">
              <w:rPr>
                <w:rFonts w:ascii="Corbel" w:hAnsi="Corbel" w:cstheme="minorHAnsi"/>
                <w:sz w:val="20"/>
                <w:szCs w:val="20"/>
                <w:u w:val="single"/>
                <w:lang w:val="en-GB"/>
              </w:rPr>
              <w:t>Baseline 1.3:</w:t>
            </w:r>
            <w:r w:rsidRPr="0003093F">
              <w:rPr>
                <w:rFonts w:ascii="Corbel" w:hAnsi="Corbel" w:cstheme="minorHAnsi"/>
                <w:sz w:val="20"/>
                <w:szCs w:val="20"/>
                <w:lang w:val="en-GB"/>
              </w:rPr>
              <w:t xml:space="preserve"> Limited availability and low level of use of </w:t>
            </w:r>
            <w:r w:rsidR="00F94CAA" w:rsidRPr="0003093F">
              <w:rPr>
                <w:rFonts w:ascii="Corbel" w:hAnsi="Corbel" w:cstheme="minorHAnsi"/>
                <w:sz w:val="20"/>
                <w:szCs w:val="20"/>
                <w:lang w:val="en-GB"/>
              </w:rPr>
              <w:t xml:space="preserve">regional and </w:t>
            </w:r>
            <w:r w:rsidRPr="0003093F">
              <w:rPr>
                <w:rFonts w:ascii="Corbel" w:hAnsi="Corbel" w:cstheme="minorHAnsi"/>
                <w:sz w:val="20"/>
                <w:szCs w:val="20"/>
                <w:lang w:val="en-GB"/>
              </w:rPr>
              <w:t>international expertise on Arab economic integration</w:t>
            </w:r>
            <w:r w:rsidR="00E773A8" w:rsidRPr="0003093F">
              <w:rPr>
                <w:rFonts w:ascii="Corbel" w:hAnsi="Corbel" w:cstheme="minorHAnsi"/>
                <w:sz w:val="20"/>
                <w:szCs w:val="20"/>
                <w:lang w:val="en-GB"/>
              </w:rPr>
              <w:t>.</w:t>
            </w:r>
            <w:bookmarkEnd w:id="120"/>
          </w:p>
          <w:p w14:paraId="24E09D9F" w14:textId="5226307A" w:rsidR="007958CF" w:rsidRPr="0003093F" w:rsidRDefault="001B0E2F" w:rsidP="00E773A8">
            <w:pPr>
              <w:widowControl w:val="0"/>
              <w:spacing w:before="120" w:line="260" w:lineRule="exact"/>
              <w:ind w:left="99"/>
              <w:outlineLvl w:val="0"/>
              <w:rPr>
                <w:rFonts w:ascii="Corbel" w:hAnsi="Corbel" w:cstheme="minorHAnsi"/>
                <w:sz w:val="20"/>
                <w:szCs w:val="20"/>
                <w:lang w:val="en-GB"/>
              </w:rPr>
            </w:pPr>
            <w:bookmarkStart w:id="121" w:name="_Toc103506657"/>
            <w:r w:rsidRPr="0003093F">
              <w:rPr>
                <w:rFonts w:ascii="Corbel" w:hAnsi="Corbel" w:cstheme="minorHAnsi"/>
                <w:sz w:val="20"/>
                <w:szCs w:val="20"/>
                <w:u w:val="single"/>
                <w:lang w:val="en-GB"/>
              </w:rPr>
              <w:t>Target 1.3:</w:t>
            </w:r>
            <w:r w:rsidRPr="0003093F">
              <w:rPr>
                <w:rFonts w:ascii="Corbel" w:hAnsi="Corbel" w:cstheme="minorHAnsi"/>
                <w:sz w:val="20"/>
                <w:szCs w:val="20"/>
                <w:lang w:val="en-GB"/>
              </w:rPr>
              <w:t xml:space="preserve"> </w:t>
            </w:r>
            <w:r w:rsidR="004B1DD2" w:rsidRPr="0003093F">
              <w:rPr>
                <w:rFonts w:ascii="Corbel" w:hAnsi="Corbel" w:cstheme="minorHAnsi"/>
                <w:sz w:val="20"/>
                <w:szCs w:val="20"/>
              </w:rPr>
              <w:t>E</w:t>
            </w:r>
            <w:r w:rsidR="007F276A" w:rsidRPr="0003093F">
              <w:rPr>
                <w:rFonts w:ascii="Corbel" w:hAnsi="Corbel" w:cstheme="minorHAnsi"/>
                <w:sz w:val="20"/>
                <w:szCs w:val="20"/>
              </w:rPr>
              <w:t xml:space="preserve">xpertise is mobilized for at least three activities with key UN agencies in support </w:t>
            </w:r>
            <w:r w:rsidR="00256563">
              <w:rPr>
                <w:rFonts w:ascii="Corbel" w:hAnsi="Corbel" w:cstheme="minorHAnsi"/>
                <w:sz w:val="20"/>
                <w:szCs w:val="20"/>
              </w:rPr>
              <w:t xml:space="preserve">of </w:t>
            </w:r>
            <w:r w:rsidR="007F276A" w:rsidRPr="0003093F">
              <w:rPr>
                <w:rFonts w:ascii="Corbel" w:hAnsi="Corbel" w:cstheme="minorHAnsi"/>
                <w:sz w:val="20"/>
                <w:szCs w:val="20"/>
              </w:rPr>
              <w:t>LAS and Arab countries</w:t>
            </w:r>
            <w:r w:rsidR="00E773A8" w:rsidRPr="0003093F">
              <w:rPr>
                <w:rFonts w:ascii="Corbel" w:hAnsi="Corbel" w:cstheme="minorHAnsi"/>
                <w:sz w:val="20"/>
                <w:szCs w:val="20"/>
                <w:lang w:val="en-GB"/>
              </w:rPr>
              <w:t>.</w:t>
            </w:r>
            <w:bookmarkEnd w:id="121"/>
          </w:p>
        </w:tc>
        <w:tc>
          <w:tcPr>
            <w:tcW w:w="3685" w:type="dxa"/>
            <w:shd w:val="clear" w:color="auto" w:fill="auto"/>
          </w:tcPr>
          <w:p w14:paraId="580BA1B2" w14:textId="40236279" w:rsidR="007E4B1B" w:rsidRPr="000C3354" w:rsidRDefault="590B1772" w:rsidP="000168EC">
            <w:pPr>
              <w:pStyle w:val="ListParagraph"/>
              <w:widowControl w:val="0"/>
              <w:numPr>
                <w:ilvl w:val="1"/>
                <w:numId w:val="7"/>
              </w:numPr>
              <w:spacing w:before="120" w:line="260" w:lineRule="exact"/>
              <w:ind w:left="0" w:firstLine="0"/>
              <w:outlineLvl w:val="0"/>
              <w:rPr>
                <w:rFonts w:ascii="Corbel" w:hAnsi="Corbel" w:cs="Arial"/>
                <w:sz w:val="20"/>
                <w:szCs w:val="20"/>
                <w:lang w:val="en-GB" w:eastAsia="en-US"/>
              </w:rPr>
            </w:pPr>
            <w:bookmarkStart w:id="122" w:name="_Toc103506658"/>
            <w:r w:rsidRPr="4F6DD0A6">
              <w:rPr>
                <w:rFonts w:ascii="Corbel" w:hAnsi="Corbel" w:cs="Arial"/>
                <w:sz w:val="20"/>
                <w:szCs w:val="20"/>
                <w:lang w:val="en-GB" w:eastAsia="en-US"/>
              </w:rPr>
              <w:t xml:space="preserve">During 2017-2021, </w:t>
            </w:r>
            <w:r w:rsidR="5049DF51" w:rsidRPr="4F6DD0A6">
              <w:rPr>
                <w:rFonts w:ascii="Corbel" w:hAnsi="Corbel" w:cs="Arial"/>
                <w:sz w:val="20"/>
                <w:szCs w:val="20"/>
                <w:lang w:val="en-GB" w:eastAsia="en-US"/>
              </w:rPr>
              <w:t>2</w:t>
            </w:r>
            <w:r w:rsidR="69DB30DC" w:rsidRPr="4F6DD0A6">
              <w:rPr>
                <w:rFonts w:ascii="Corbel" w:hAnsi="Corbel" w:cs="Arial"/>
                <w:sz w:val="20"/>
                <w:szCs w:val="20"/>
                <w:lang w:val="en-GB" w:eastAsia="en-US"/>
              </w:rPr>
              <w:t xml:space="preserve">4 </w:t>
            </w:r>
            <w:r w:rsidR="1EEF8F2E" w:rsidRPr="4F6DD0A6">
              <w:rPr>
                <w:rFonts w:ascii="Corbel" w:hAnsi="Corbel" w:cs="Arial"/>
                <w:sz w:val="20"/>
                <w:szCs w:val="20"/>
                <w:lang w:val="en-GB" w:eastAsia="en-US"/>
              </w:rPr>
              <w:t>R</w:t>
            </w:r>
            <w:r w:rsidR="56929663" w:rsidRPr="4F6DD0A6">
              <w:rPr>
                <w:rFonts w:ascii="Corbel" w:hAnsi="Corbel" w:cs="Arial"/>
                <w:sz w:val="20"/>
                <w:szCs w:val="20"/>
                <w:lang w:val="en-GB" w:eastAsia="en-US"/>
              </w:rPr>
              <w:t xml:space="preserve">egional and international </w:t>
            </w:r>
            <w:r w:rsidR="272A65A3" w:rsidRPr="4F6DD0A6">
              <w:rPr>
                <w:rFonts w:ascii="Corbel" w:hAnsi="Corbel" w:cs="Arial"/>
                <w:sz w:val="20"/>
                <w:szCs w:val="20"/>
                <w:lang w:val="en-GB" w:eastAsia="en-US"/>
              </w:rPr>
              <w:t>experts</w:t>
            </w:r>
            <w:r w:rsidR="7FFDD32C" w:rsidRPr="4F6DD0A6">
              <w:rPr>
                <w:rFonts w:ascii="Corbel" w:hAnsi="Corbel" w:cs="Arial"/>
                <w:sz w:val="20"/>
                <w:szCs w:val="20"/>
                <w:lang w:val="en-GB" w:eastAsia="en-US"/>
              </w:rPr>
              <w:t xml:space="preserve"> </w:t>
            </w:r>
            <w:r w:rsidR="272A65A3" w:rsidRPr="4F6DD0A6">
              <w:rPr>
                <w:rFonts w:ascii="Corbel" w:hAnsi="Corbel" w:cs="Arial"/>
                <w:sz w:val="20"/>
                <w:szCs w:val="20"/>
                <w:lang w:val="en-GB" w:eastAsia="en-US"/>
              </w:rPr>
              <w:t>from the UN System, W</w:t>
            </w:r>
            <w:r w:rsidR="022A5B45" w:rsidRPr="4F6DD0A6">
              <w:rPr>
                <w:rFonts w:ascii="Corbel" w:hAnsi="Corbel" w:cs="Arial"/>
                <w:sz w:val="20"/>
                <w:szCs w:val="20"/>
                <w:lang w:val="en-GB" w:eastAsia="en-US"/>
              </w:rPr>
              <w:t>T</w:t>
            </w:r>
            <w:r w:rsidR="272A65A3" w:rsidRPr="4F6DD0A6">
              <w:rPr>
                <w:rFonts w:ascii="Corbel" w:hAnsi="Corbel" w:cs="Arial"/>
                <w:sz w:val="20"/>
                <w:szCs w:val="20"/>
                <w:lang w:val="en-GB" w:eastAsia="en-US"/>
              </w:rPr>
              <w:t>O,</w:t>
            </w:r>
            <w:r w:rsidR="5049DF51" w:rsidRPr="4F6DD0A6">
              <w:rPr>
                <w:rFonts w:ascii="Corbel" w:hAnsi="Corbel" w:cs="Arial"/>
                <w:sz w:val="20"/>
                <w:szCs w:val="20"/>
                <w:lang w:val="en-GB" w:eastAsia="en-US"/>
              </w:rPr>
              <w:t xml:space="preserve"> World Customs Organization, sub-regional entities, non-governmental </w:t>
            </w:r>
            <w:r w:rsidR="00184455" w:rsidRPr="4F6DD0A6">
              <w:rPr>
                <w:rFonts w:ascii="Corbel" w:hAnsi="Corbel" w:cs="Arial"/>
                <w:sz w:val="20"/>
                <w:szCs w:val="20"/>
                <w:lang w:val="en-GB" w:eastAsia="en-US"/>
              </w:rPr>
              <w:t>organizations,</w:t>
            </w:r>
            <w:r w:rsidR="272A65A3" w:rsidRPr="4F6DD0A6">
              <w:rPr>
                <w:rFonts w:ascii="Corbel" w:hAnsi="Corbel" w:cs="Arial"/>
                <w:sz w:val="20"/>
                <w:szCs w:val="20"/>
                <w:lang w:val="en-GB" w:eastAsia="en-US"/>
              </w:rPr>
              <w:t xml:space="preserve"> </w:t>
            </w:r>
            <w:r w:rsidR="309EC701" w:rsidRPr="4F6DD0A6">
              <w:rPr>
                <w:rFonts w:ascii="Corbel" w:hAnsi="Corbel" w:cs="Arial"/>
                <w:sz w:val="20"/>
                <w:szCs w:val="20"/>
                <w:lang w:val="en-GB" w:eastAsia="en-US"/>
              </w:rPr>
              <w:t xml:space="preserve">and the </w:t>
            </w:r>
            <w:r w:rsidR="272A65A3" w:rsidRPr="4F6DD0A6">
              <w:rPr>
                <w:rFonts w:ascii="Corbel" w:hAnsi="Corbel" w:cs="Arial"/>
                <w:sz w:val="20"/>
                <w:szCs w:val="20"/>
                <w:lang w:val="en-GB" w:eastAsia="en-US"/>
              </w:rPr>
              <w:t xml:space="preserve">private sector </w:t>
            </w:r>
            <w:r w:rsidR="1BB52455" w:rsidRPr="4F6DD0A6">
              <w:rPr>
                <w:rFonts w:ascii="Corbel" w:hAnsi="Corbel" w:cs="Arial"/>
                <w:sz w:val="20"/>
                <w:szCs w:val="20"/>
                <w:lang w:val="en-GB" w:eastAsia="en-US"/>
              </w:rPr>
              <w:t xml:space="preserve">were engaged </w:t>
            </w:r>
            <w:r w:rsidR="695F390C" w:rsidRPr="4F6DD0A6">
              <w:rPr>
                <w:rFonts w:ascii="Corbel" w:hAnsi="Corbel" w:cs="Arial"/>
                <w:sz w:val="20"/>
                <w:szCs w:val="20"/>
                <w:lang w:val="en-GB" w:eastAsia="en-US"/>
              </w:rPr>
              <w:t>in</w:t>
            </w:r>
            <w:r w:rsidR="5F9845BF" w:rsidRPr="4F6DD0A6">
              <w:rPr>
                <w:rFonts w:ascii="Corbel" w:hAnsi="Corbel" w:cs="Arial"/>
                <w:sz w:val="20"/>
                <w:szCs w:val="20"/>
                <w:lang w:val="en-GB" w:eastAsia="en-US"/>
              </w:rPr>
              <w:t xml:space="preserve"> </w:t>
            </w:r>
            <w:r w:rsidRPr="4F6DD0A6">
              <w:rPr>
                <w:rFonts w:ascii="Corbel" w:hAnsi="Corbel" w:cs="Arial"/>
                <w:sz w:val="20"/>
                <w:szCs w:val="20"/>
                <w:lang w:val="en-GB" w:eastAsia="en-US"/>
              </w:rPr>
              <w:t xml:space="preserve">PAFTA-related </w:t>
            </w:r>
            <w:r w:rsidR="4E83F499" w:rsidRPr="4F6DD0A6">
              <w:rPr>
                <w:rFonts w:ascii="Corbel" w:hAnsi="Corbel" w:cs="Arial"/>
                <w:sz w:val="20"/>
                <w:szCs w:val="20"/>
                <w:lang w:val="en-GB" w:eastAsia="en-US"/>
              </w:rPr>
              <w:t>capacity-</w:t>
            </w:r>
            <w:r w:rsidR="695F390C" w:rsidRPr="4F6DD0A6">
              <w:rPr>
                <w:rFonts w:ascii="Corbel" w:hAnsi="Corbel" w:cs="Arial"/>
                <w:sz w:val="20"/>
                <w:szCs w:val="20"/>
                <w:lang w:val="en-GB" w:eastAsia="en-US"/>
              </w:rPr>
              <w:t>development</w:t>
            </w:r>
            <w:r w:rsidR="4E83F499" w:rsidRPr="4F6DD0A6">
              <w:rPr>
                <w:rFonts w:ascii="Corbel" w:hAnsi="Corbel" w:cs="Arial"/>
                <w:sz w:val="20"/>
                <w:szCs w:val="20"/>
                <w:lang w:val="en-GB" w:eastAsia="en-US"/>
              </w:rPr>
              <w:t xml:space="preserve"> activities </w:t>
            </w:r>
            <w:r w:rsidR="0DD53EFD" w:rsidRPr="4F6DD0A6">
              <w:rPr>
                <w:rFonts w:ascii="Corbel" w:hAnsi="Corbel" w:cs="Arial"/>
                <w:sz w:val="20"/>
                <w:szCs w:val="20"/>
                <w:lang w:val="en-GB" w:eastAsia="en-US"/>
              </w:rPr>
              <w:t>for LAS staff and member states representatives</w:t>
            </w:r>
            <w:r w:rsidR="272A65A3" w:rsidRPr="4F6DD0A6">
              <w:rPr>
                <w:rFonts w:ascii="Corbel" w:hAnsi="Corbel" w:cs="Arial"/>
                <w:sz w:val="20"/>
                <w:szCs w:val="20"/>
                <w:lang w:val="en-GB" w:eastAsia="en-US"/>
              </w:rPr>
              <w:t>.</w:t>
            </w:r>
            <w:bookmarkEnd w:id="122"/>
            <w:r w:rsidR="794BAE19" w:rsidRPr="4F6DD0A6">
              <w:rPr>
                <w:rFonts w:ascii="Corbel" w:hAnsi="Corbel" w:cs="Arial"/>
                <w:sz w:val="20"/>
                <w:szCs w:val="20"/>
                <w:lang w:val="en-GB" w:eastAsia="en-US"/>
              </w:rPr>
              <w:t xml:space="preserve"> </w:t>
            </w:r>
          </w:p>
        </w:tc>
      </w:tr>
      <w:bookmarkEnd w:id="108"/>
    </w:tbl>
    <w:p w14:paraId="41303BBA" w14:textId="77777777" w:rsidR="00A561B6" w:rsidRPr="0003093F" w:rsidRDefault="00A561B6" w:rsidP="009A22B8">
      <w:pPr>
        <w:outlineLvl w:val="0"/>
        <w:rPr>
          <w:rFonts w:ascii="Corbel" w:hAnsi="Corbel" w:cs="Arial"/>
          <w:b/>
          <w:sz w:val="21"/>
          <w:szCs w:val="21"/>
          <w:lang w:val="en-GB"/>
        </w:rPr>
      </w:pPr>
    </w:p>
    <w:p w14:paraId="6C1CBB81" w14:textId="6F7EB1BB" w:rsidR="009A22B8" w:rsidRPr="0003093F" w:rsidRDefault="001B5FBD" w:rsidP="009A22B8">
      <w:pPr>
        <w:outlineLvl w:val="0"/>
        <w:rPr>
          <w:rFonts w:ascii="Corbel" w:hAnsi="Corbel" w:cs="Arial"/>
          <w:b/>
          <w:sz w:val="22"/>
          <w:szCs w:val="22"/>
          <w:lang w:val="en-GB"/>
        </w:rPr>
      </w:pPr>
      <w:bookmarkStart w:id="123" w:name="_Toc103506659"/>
      <w:r w:rsidRPr="001B5FBD">
        <w:rPr>
          <w:rFonts w:ascii="Corbel" w:hAnsi="Corbel" w:cs="Arial"/>
          <w:b/>
          <w:sz w:val="22"/>
          <w:szCs w:val="22"/>
          <w:lang w:val="en-GB"/>
        </w:rPr>
        <w:t xml:space="preserve">Output 2: </w:t>
      </w:r>
      <w:r w:rsidRPr="001B5FBD">
        <w:rPr>
          <w:rFonts w:ascii="Corbel" w:hAnsi="Corbel" w:cs="Arial"/>
          <w:b/>
          <w:bCs/>
          <w:sz w:val="22"/>
          <w:szCs w:val="22"/>
          <w:lang w:val="en-GB"/>
        </w:rPr>
        <w:t>Provision of support for the organizational capacity of LAS secretariat to facilitate the regional economic integration agenda</w:t>
      </w:r>
      <w:bookmarkEnd w:id="123"/>
    </w:p>
    <w:p w14:paraId="79F8AB51" w14:textId="77777777" w:rsidR="0034072F" w:rsidRDefault="0034072F" w:rsidP="0034072F">
      <w:pPr>
        <w:spacing w:line="276" w:lineRule="auto"/>
        <w:jc w:val="both"/>
        <w:outlineLvl w:val="0"/>
        <w:rPr>
          <w:rFonts w:ascii="Corbel" w:hAnsi="Corbel"/>
          <w:bCs/>
          <w:sz w:val="22"/>
          <w:szCs w:val="22"/>
          <w:lang w:val="en-GB"/>
        </w:rPr>
      </w:pPr>
      <w:bookmarkStart w:id="124" w:name="_Toc103506660"/>
      <w:r w:rsidRPr="0003093F">
        <w:rPr>
          <w:rFonts w:ascii="Corbel" w:hAnsi="Corbel"/>
          <w:bCs/>
          <w:sz w:val="22"/>
          <w:szCs w:val="22"/>
          <w:lang w:val="en-GB"/>
        </w:rPr>
        <w:t xml:space="preserve">Activities undertaken </w:t>
      </w:r>
      <w:r>
        <w:rPr>
          <w:rFonts w:ascii="Corbel" w:hAnsi="Corbel"/>
          <w:bCs/>
          <w:sz w:val="22"/>
          <w:szCs w:val="22"/>
          <w:lang w:val="en-GB"/>
        </w:rPr>
        <w:t>under</w:t>
      </w:r>
      <w:r w:rsidRPr="0003093F">
        <w:rPr>
          <w:rFonts w:ascii="Corbel" w:hAnsi="Corbel"/>
          <w:bCs/>
          <w:sz w:val="22"/>
          <w:szCs w:val="22"/>
          <w:lang w:val="en-GB"/>
        </w:rPr>
        <w:t xml:space="preserve"> Output 2 aimed to reinforce achievement</w:t>
      </w:r>
      <w:r>
        <w:rPr>
          <w:rFonts w:ascii="Corbel" w:hAnsi="Corbel"/>
          <w:bCs/>
          <w:sz w:val="22"/>
          <w:szCs w:val="22"/>
          <w:lang w:val="en-GB"/>
        </w:rPr>
        <w:t>s</w:t>
      </w:r>
      <w:r w:rsidRPr="0003093F">
        <w:rPr>
          <w:rFonts w:ascii="Corbel" w:hAnsi="Corbel"/>
          <w:bCs/>
          <w:sz w:val="22"/>
          <w:szCs w:val="22"/>
          <w:lang w:val="en-GB"/>
        </w:rPr>
        <w:t xml:space="preserve"> under Output 1 by facilitating exchanges </w:t>
      </w:r>
      <w:r>
        <w:rPr>
          <w:rFonts w:ascii="Corbel" w:hAnsi="Corbel"/>
          <w:bCs/>
          <w:sz w:val="22"/>
          <w:szCs w:val="22"/>
          <w:lang w:val="en-GB"/>
        </w:rPr>
        <w:t>and knowledge sharing</w:t>
      </w:r>
      <w:r w:rsidRPr="0003093F">
        <w:rPr>
          <w:rFonts w:ascii="Corbel" w:hAnsi="Corbel"/>
          <w:bCs/>
          <w:sz w:val="22"/>
          <w:szCs w:val="22"/>
          <w:lang w:val="en-GB"/>
        </w:rPr>
        <w:t xml:space="preserve"> on policies to promote the modernization of PAFTA and the implementation of related policies based on priorities identified by member states. The project team advised the Arab Economic Integration Department for better coordination with other departments within the Economic Sector at LAS and with departments responsible for transport cooperation.</w:t>
      </w:r>
      <w:bookmarkEnd w:id="124"/>
    </w:p>
    <w:p w14:paraId="1B4F8AC2" w14:textId="77777777" w:rsidR="0034072F" w:rsidRPr="0003093F" w:rsidRDefault="0034072F" w:rsidP="0034072F">
      <w:pPr>
        <w:spacing w:line="276" w:lineRule="auto"/>
        <w:jc w:val="both"/>
        <w:outlineLvl w:val="0"/>
        <w:rPr>
          <w:rFonts w:ascii="Corbel" w:hAnsi="Corbel"/>
          <w:bCs/>
          <w:sz w:val="22"/>
          <w:szCs w:val="22"/>
          <w:lang w:val="en-GB"/>
        </w:rPr>
      </w:pPr>
    </w:p>
    <w:p w14:paraId="558AFBF5" w14:textId="77777777" w:rsidR="0034072F" w:rsidRPr="0003093F" w:rsidRDefault="0034072F" w:rsidP="0034072F">
      <w:pPr>
        <w:spacing w:line="276" w:lineRule="auto"/>
        <w:jc w:val="both"/>
        <w:outlineLvl w:val="0"/>
        <w:rPr>
          <w:rFonts w:ascii="Corbel" w:eastAsia="Times New Roman" w:hAnsi="Corbel"/>
          <w:bCs/>
          <w:sz w:val="22"/>
          <w:szCs w:val="22"/>
          <w:lang w:val="en-GB"/>
        </w:rPr>
      </w:pPr>
      <w:bookmarkStart w:id="125" w:name="_Toc103506661"/>
      <w:r>
        <w:rPr>
          <w:rFonts w:ascii="Corbel" w:hAnsi="Corbel" w:cstheme="minorHAnsi"/>
          <w:bCs/>
          <w:sz w:val="22"/>
          <w:szCs w:val="22"/>
          <w:lang w:val="en-GB"/>
        </w:rPr>
        <w:t>R</w:t>
      </w:r>
      <w:r w:rsidRPr="003928A1">
        <w:rPr>
          <w:rFonts w:ascii="Corbel" w:hAnsi="Corbel" w:cstheme="minorHAnsi"/>
          <w:bCs/>
          <w:sz w:val="22"/>
          <w:szCs w:val="22"/>
          <w:lang w:val="en-GB"/>
        </w:rPr>
        <w:t>esults achieved while assisting</w:t>
      </w:r>
      <w:r w:rsidRPr="0003093F">
        <w:rPr>
          <w:rFonts w:ascii="Corbel" w:hAnsi="Corbel" w:cstheme="minorHAnsi"/>
          <w:bCs/>
          <w:sz w:val="22"/>
          <w:szCs w:val="22"/>
          <w:lang w:val="en-GB"/>
        </w:rPr>
        <w:t xml:space="preserve"> LAS senior management in policy consultations and dialogues with policy makers of Arab countries on PAFTA upgrading and ACU preparations </w:t>
      </w:r>
      <w:r>
        <w:rPr>
          <w:rFonts w:ascii="Corbel" w:hAnsi="Corbel" w:cstheme="minorHAnsi"/>
          <w:bCs/>
          <w:sz w:val="22"/>
          <w:szCs w:val="22"/>
          <w:lang w:val="en-GB"/>
        </w:rPr>
        <w:t>include:</w:t>
      </w:r>
      <w:bookmarkEnd w:id="125"/>
    </w:p>
    <w:p w14:paraId="4FF0CAC8" w14:textId="77777777" w:rsidR="0034072F" w:rsidRPr="0003093F" w:rsidRDefault="0034072F" w:rsidP="000168EC">
      <w:pPr>
        <w:pStyle w:val="ListParagraph"/>
        <w:numPr>
          <w:ilvl w:val="0"/>
          <w:numId w:val="9"/>
        </w:numPr>
        <w:spacing w:line="276" w:lineRule="auto"/>
        <w:ind w:left="567" w:firstLine="0"/>
        <w:contextualSpacing w:val="0"/>
        <w:jc w:val="both"/>
        <w:outlineLvl w:val="0"/>
        <w:rPr>
          <w:rFonts w:ascii="Corbel" w:hAnsi="Corbel"/>
          <w:bCs/>
          <w:sz w:val="22"/>
          <w:szCs w:val="22"/>
          <w:lang w:val="en-GB"/>
        </w:rPr>
      </w:pPr>
      <w:bookmarkStart w:id="126" w:name="_Toc103506662"/>
      <w:r w:rsidRPr="0003093F">
        <w:rPr>
          <w:rFonts w:ascii="Corbel" w:hAnsi="Corbel"/>
          <w:bCs/>
          <w:sz w:val="22"/>
          <w:szCs w:val="22"/>
          <w:lang w:val="en-GB"/>
        </w:rPr>
        <w:t xml:space="preserve">The </w:t>
      </w:r>
      <w:r>
        <w:rPr>
          <w:rFonts w:ascii="Corbel" w:hAnsi="Corbel"/>
          <w:bCs/>
          <w:sz w:val="22"/>
          <w:szCs w:val="22"/>
          <w:lang w:val="en-GB"/>
        </w:rPr>
        <w:t xml:space="preserve">preparation of the </w:t>
      </w:r>
      <w:r w:rsidRPr="0003093F">
        <w:rPr>
          <w:rFonts w:ascii="Corbel" w:hAnsi="Corbel"/>
          <w:bCs/>
          <w:sz w:val="22"/>
          <w:szCs w:val="22"/>
          <w:lang w:val="en-GB"/>
        </w:rPr>
        <w:t xml:space="preserve">work methodology for the Technical Secretariat at LAS for </w:t>
      </w:r>
      <w:r>
        <w:rPr>
          <w:rFonts w:ascii="Corbel" w:hAnsi="Corbel"/>
          <w:bCs/>
          <w:sz w:val="22"/>
          <w:szCs w:val="22"/>
          <w:lang w:val="en-GB"/>
        </w:rPr>
        <w:t xml:space="preserve">conducting </w:t>
      </w:r>
      <w:r w:rsidRPr="0003093F">
        <w:rPr>
          <w:rFonts w:ascii="Corbel" w:hAnsi="Corbel"/>
          <w:bCs/>
          <w:sz w:val="22"/>
          <w:szCs w:val="22"/>
          <w:lang w:val="en-GB"/>
        </w:rPr>
        <w:t>audit</w:t>
      </w:r>
      <w:r>
        <w:rPr>
          <w:rFonts w:ascii="Corbel" w:hAnsi="Corbel"/>
          <w:bCs/>
          <w:sz w:val="22"/>
          <w:szCs w:val="22"/>
          <w:lang w:val="en-GB"/>
        </w:rPr>
        <w:t>s</w:t>
      </w:r>
      <w:r w:rsidRPr="0003093F">
        <w:rPr>
          <w:rFonts w:ascii="Corbel" w:hAnsi="Corbel"/>
          <w:bCs/>
          <w:sz w:val="22"/>
          <w:szCs w:val="22"/>
          <w:lang w:val="en-GB"/>
        </w:rPr>
        <w:t xml:space="preserve"> of policies on trade in services.</w:t>
      </w:r>
      <w:bookmarkEnd w:id="126"/>
    </w:p>
    <w:p w14:paraId="63A04042" w14:textId="77777777" w:rsidR="0034072F" w:rsidRPr="0003093F" w:rsidRDefault="0034072F" w:rsidP="000168EC">
      <w:pPr>
        <w:pStyle w:val="ListParagraph"/>
        <w:numPr>
          <w:ilvl w:val="0"/>
          <w:numId w:val="9"/>
        </w:numPr>
        <w:spacing w:line="276" w:lineRule="auto"/>
        <w:ind w:left="567" w:firstLine="0"/>
        <w:contextualSpacing w:val="0"/>
        <w:jc w:val="both"/>
        <w:outlineLvl w:val="0"/>
        <w:rPr>
          <w:rFonts w:ascii="Corbel" w:hAnsi="Corbel"/>
          <w:bCs/>
          <w:sz w:val="22"/>
          <w:szCs w:val="22"/>
          <w:lang w:val="en-GB"/>
        </w:rPr>
      </w:pPr>
      <w:bookmarkStart w:id="127" w:name="_Toc103506663"/>
      <w:r>
        <w:rPr>
          <w:rFonts w:ascii="Corbel" w:hAnsi="Corbel"/>
          <w:bCs/>
          <w:sz w:val="22"/>
          <w:szCs w:val="22"/>
          <w:lang w:val="en-GB"/>
        </w:rPr>
        <w:t>M</w:t>
      </w:r>
      <w:r w:rsidRPr="0003093F">
        <w:rPr>
          <w:rFonts w:ascii="Corbel" w:hAnsi="Corbel"/>
          <w:bCs/>
          <w:sz w:val="22"/>
          <w:szCs w:val="22"/>
          <w:lang w:val="en-GB"/>
        </w:rPr>
        <w:t xml:space="preserve">echanisms of consultation among multiple agencies participating </w:t>
      </w:r>
      <w:r>
        <w:rPr>
          <w:rFonts w:ascii="Corbel" w:hAnsi="Corbel"/>
          <w:bCs/>
          <w:sz w:val="22"/>
          <w:szCs w:val="22"/>
          <w:lang w:val="en-GB"/>
        </w:rPr>
        <w:t>in</w:t>
      </w:r>
      <w:r w:rsidRPr="0003093F">
        <w:rPr>
          <w:rFonts w:ascii="Corbel" w:hAnsi="Corbel"/>
          <w:bCs/>
          <w:sz w:val="22"/>
          <w:szCs w:val="22"/>
          <w:lang w:val="en-GB"/>
        </w:rPr>
        <w:t xml:space="preserve"> the management and administration of ACU operations</w:t>
      </w:r>
      <w:r>
        <w:rPr>
          <w:rFonts w:ascii="Corbel" w:hAnsi="Corbel"/>
          <w:bCs/>
          <w:sz w:val="22"/>
          <w:szCs w:val="22"/>
          <w:lang w:val="en-GB"/>
        </w:rPr>
        <w:t xml:space="preserve"> were included in t</w:t>
      </w:r>
      <w:r w:rsidRPr="0003093F">
        <w:rPr>
          <w:rFonts w:ascii="Corbel" w:hAnsi="Corbel"/>
          <w:bCs/>
          <w:sz w:val="22"/>
          <w:szCs w:val="22"/>
          <w:lang w:val="en-GB"/>
        </w:rPr>
        <w:t>he draft outlines of the Agreement on the Arab Customs Union (ACU).</w:t>
      </w:r>
      <w:bookmarkEnd w:id="127"/>
    </w:p>
    <w:p w14:paraId="15CE0982" w14:textId="77777777" w:rsidR="0034072F" w:rsidRPr="007F700E" w:rsidRDefault="0034072F" w:rsidP="000168EC">
      <w:pPr>
        <w:pStyle w:val="ListParagraph"/>
        <w:numPr>
          <w:ilvl w:val="0"/>
          <w:numId w:val="9"/>
        </w:numPr>
        <w:spacing w:line="276" w:lineRule="auto"/>
        <w:ind w:left="567" w:firstLine="0"/>
        <w:contextualSpacing w:val="0"/>
        <w:jc w:val="both"/>
        <w:outlineLvl w:val="0"/>
        <w:rPr>
          <w:rFonts w:ascii="Corbel" w:hAnsi="Corbel"/>
          <w:bCs/>
          <w:sz w:val="22"/>
          <w:szCs w:val="22"/>
          <w:lang w:val="en-GB"/>
        </w:rPr>
      </w:pPr>
      <w:bookmarkStart w:id="128" w:name="_Toc103506664"/>
      <w:r w:rsidRPr="007F700E">
        <w:rPr>
          <w:rFonts w:ascii="Corbel" w:hAnsi="Corbel"/>
          <w:bCs/>
          <w:sz w:val="22"/>
          <w:szCs w:val="22"/>
          <w:lang w:val="en-GB"/>
        </w:rPr>
        <w:t>Mechanisms for thematic consultations on trade-related matter were also presented to the Technical Secretariat at LAS.</w:t>
      </w:r>
      <w:r>
        <w:rPr>
          <w:rFonts w:ascii="Corbel" w:hAnsi="Corbel"/>
          <w:bCs/>
          <w:sz w:val="22"/>
          <w:szCs w:val="22"/>
          <w:lang w:val="en-GB"/>
        </w:rPr>
        <w:t xml:space="preserve"> Once in person</w:t>
      </w:r>
      <w:r w:rsidRPr="007F700E">
        <w:rPr>
          <w:rFonts w:ascii="Corbel" w:hAnsi="Corbel"/>
          <w:bCs/>
          <w:sz w:val="22"/>
          <w:szCs w:val="22"/>
          <w:lang w:val="en-GB"/>
        </w:rPr>
        <w:t xml:space="preserve"> consultations with trade policy makers were put on hold due to the travel restrictions imposed by the </w:t>
      </w:r>
      <w:r>
        <w:rPr>
          <w:rFonts w:ascii="Corbel" w:hAnsi="Corbel"/>
          <w:bCs/>
          <w:sz w:val="22"/>
          <w:szCs w:val="22"/>
          <w:lang w:val="en-GB"/>
        </w:rPr>
        <w:t xml:space="preserve">Covid-19 </w:t>
      </w:r>
      <w:r w:rsidRPr="007F700E">
        <w:rPr>
          <w:rFonts w:ascii="Corbel" w:hAnsi="Corbel"/>
          <w:bCs/>
          <w:sz w:val="22"/>
          <w:szCs w:val="22"/>
          <w:lang w:val="en-GB"/>
        </w:rPr>
        <w:t>pandemic</w:t>
      </w:r>
      <w:r>
        <w:rPr>
          <w:rFonts w:ascii="Corbel" w:hAnsi="Corbel"/>
          <w:bCs/>
          <w:sz w:val="22"/>
          <w:szCs w:val="22"/>
          <w:lang w:val="en-GB"/>
        </w:rPr>
        <w:t xml:space="preserve">, </w:t>
      </w:r>
      <w:r w:rsidRPr="007F700E">
        <w:rPr>
          <w:rFonts w:ascii="Corbel" w:hAnsi="Corbel"/>
          <w:bCs/>
          <w:sz w:val="22"/>
          <w:szCs w:val="22"/>
          <w:lang w:val="en-GB"/>
        </w:rPr>
        <w:t xml:space="preserve">webinars were organised to </w:t>
      </w:r>
      <w:r>
        <w:rPr>
          <w:rFonts w:ascii="Corbel" w:hAnsi="Corbel"/>
          <w:bCs/>
          <w:sz w:val="22"/>
          <w:szCs w:val="22"/>
          <w:lang w:val="en-GB"/>
        </w:rPr>
        <w:t>allow the continuation of the policy dialogue</w:t>
      </w:r>
      <w:r w:rsidRPr="007F700E">
        <w:rPr>
          <w:rFonts w:ascii="Corbel" w:hAnsi="Corbel"/>
          <w:bCs/>
          <w:sz w:val="22"/>
          <w:szCs w:val="22"/>
          <w:lang w:val="en-GB"/>
        </w:rPr>
        <w:t>.</w:t>
      </w:r>
      <w:bookmarkEnd w:id="128"/>
      <w:r>
        <w:rPr>
          <w:rFonts w:ascii="Corbel" w:hAnsi="Corbel"/>
          <w:bCs/>
          <w:sz w:val="22"/>
          <w:szCs w:val="22"/>
          <w:lang w:val="en-GB"/>
        </w:rPr>
        <w:t xml:space="preserve"> </w:t>
      </w:r>
    </w:p>
    <w:p w14:paraId="1C4F786D" w14:textId="77777777" w:rsidR="0034072F" w:rsidRPr="0003093F" w:rsidRDefault="0034072F" w:rsidP="0034072F">
      <w:pPr>
        <w:spacing w:line="276" w:lineRule="auto"/>
        <w:jc w:val="both"/>
        <w:outlineLvl w:val="0"/>
        <w:rPr>
          <w:rFonts w:ascii="Corbel" w:eastAsia="Times New Roman" w:hAnsi="Corbel"/>
          <w:bCs/>
          <w:sz w:val="22"/>
          <w:szCs w:val="22"/>
          <w:lang w:val="en-GB"/>
        </w:rPr>
      </w:pPr>
    </w:p>
    <w:p w14:paraId="2FCBA9EB" w14:textId="58AC429D" w:rsidR="0034072F" w:rsidRPr="0003093F" w:rsidRDefault="0034072F" w:rsidP="4F6DD0A6">
      <w:pPr>
        <w:spacing w:line="276" w:lineRule="auto"/>
        <w:jc w:val="both"/>
        <w:outlineLvl w:val="0"/>
        <w:rPr>
          <w:rFonts w:ascii="Corbel" w:hAnsi="Corbel" w:cstheme="minorBidi"/>
          <w:sz w:val="22"/>
          <w:szCs w:val="22"/>
          <w:lang w:val="en-GB"/>
        </w:rPr>
      </w:pPr>
      <w:bookmarkStart w:id="129" w:name="_Toc103506665"/>
      <w:r w:rsidRPr="00A036F9">
        <w:rPr>
          <w:rFonts w:ascii="Corbel" w:hAnsi="Corbel" w:cstheme="minorBidi"/>
          <w:sz w:val="22"/>
          <w:szCs w:val="22"/>
          <w:lang w:val="en-GB"/>
        </w:rPr>
        <w:t xml:space="preserve">The project developed the capacity </w:t>
      </w:r>
      <w:r w:rsidR="00184455" w:rsidRPr="00A036F9">
        <w:rPr>
          <w:rFonts w:ascii="Corbel" w:hAnsi="Corbel" w:cstheme="minorBidi"/>
          <w:sz w:val="22"/>
          <w:szCs w:val="22"/>
          <w:lang w:val="en-GB"/>
        </w:rPr>
        <w:t>of</w:t>
      </w:r>
      <w:r w:rsidR="00184455" w:rsidRPr="4F6DD0A6">
        <w:rPr>
          <w:rFonts w:ascii="Corbel" w:hAnsi="Corbel" w:cstheme="minorBidi"/>
          <w:b/>
          <w:bCs/>
          <w:sz w:val="22"/>
          <w:szCs w:val="22"/>
          <w:lang w:val="en-GB"/>
        </w:rPr>
        <w:t xml:space="preserve"> </w:t>
      </w:r>
      <w:r w:rsidR="00184455" w:rsidRPr="4F6DD0A6">
        <w:rPr>
          <w:rFonts w:ascii="Corbel" w:hAnsi="Corbel" w:cstheme="minorBidi"/>
          <w:sz w:val="22"/>
          <w:szCs w:val="22"/>
          <w:lang w:val="en-GB"/>
        </w:rPr>
        <w:t>LAS</w:t>
      </w:r>
      <w:r w:rsidRPr="4F6DD0A6">
        <w:rPr>
          <w:rFonts w:ascii="Corbel" w:hAnsi="Corbel" w:cstheme="minorBidi"/>
          <w:sz w:val="22"/>
          <w:szCs w:val="22"/>
          <w:lang w:val="en-GB"/>
        </w:rPr>
        <w:t xml:space="preserve"> experts and staff on trade analysis techniques to be applied to PAFTA upgrading and ACU preparations, implementation, and monitoring. Completed activities in this field include:</w:t>
      </w:r>
      <w:bookmarkEnd w:id="129"/>
      <w:r w:rsidRPr="4F6DD0A6">
        <w:rPr>
          <w:rFonts w:ascii="Corbel" w:hAnsi="Corbel" w:cstheme="minorBidi"/>
          <w:sz w:val="22"/>
          <w:szCs w:val="22"/>
          <w:lang w:val="en-GB"/>
        </w:rPr>
        <w:t xml:space="preserve"> </w:t>
      </w:r>
    </w:p>
    <w:p w14:paraId="33425851" w14:textId="77777777" w:rsidR="0034072F" w:rsidRPr="0003093F" w:rsidRDefault="0034072F" w:rsidP="000168EC">
      <w:pPr>
        <w:pStyle w:val="ListParagraph"/>
        <w:numPr>
          <w:ilvl w:val="0"/>
          <w:numId w:val="9"/>
        </w:numPr>
        <w:spacing w:line="276" w:lineRule="auto"/>
        <w:contextualSpacing w:val="0"/>
        <w:jc w:val="both"/>
        <w:outlineLvl w:val="0"/>
        <w:rPr>
          <w:rFonts w:ascii="Corbel" w:hAnsi="Corbel"/>
          <w:sz w:val="22"/>
          <w:szCs w:val="22"/>
          <w:lang w:val="en-GB"/>
        </w:rPr>
      </w:pPr>
      <w:bookmarkStart w:id="130" w:name="_Toc103506666"/>
      <w:r w:rsidRPr="0003093F">
        <w:rPr>
          <w:rFonts w:ascii="Corbel" w:hAnsi="Corbel"/>
          <w:sz w:val="22"/>
          <w:szCs w:val="22"/>
          <w:lang w:val="en-GB"/>
        </w:rPr>
        <w:t xml:space="preserve">16 regional workshops </w:t>
      </w:r>
      <w:r>
        <w:rPr>
          <w:rFonts w:ascii="Corbel" w:hAnsi="Corbel"/>
          <w:sz w:val="22"/>
          <w:szCs w:val="22"/>
          <w:lang w:val="en-GB"/>
        </w:rPr>
        <w:t>where LAS e</w:t>
      </w:r>
      <w:r w:rsidRPr="0003093F">
        <w:rPr>
          <w:rFonts w:ascii="Corbel" w:hAnsi="Corbel"/>
          <w:sz w:val="22"/>
          <w:szCs w:val="22"/>
          <w:lang w:val="en-GB"/>
        </w:rPr>
        <w:t>xperts and staffs</w:t>
      </w:r>
      <w:r>
        <w:rPr>
          <w:rFonts w:ascii="Corbel" w:hAnsi="Corbel"/>
          <w:sz w:val="22"/>
          <w:szCs w:val="22"/>
          <w:lang w:val="en-GB"/>
        </w:rPr>
        <w:t>, as well as member states</w:t>
      </w:r>
      <w:r w:rsidRPr="0003093F">
        <w:rPr>
          <w:rFonts w:ascii="Corbel" w:hAnsi="Corbel"/>
          <w:sz w:val="22"/>
          <w:szCs w:val="22"/>
          <w:lang w:val="en-GB"/>
        </w:rPr>
        <w:t xml:space="preserve"> trade policy makers </w:t>
      </w:r>
      <w:r>
        <w:rPr>
          <w:rFonts w:ascii="Corbel" w:hAnsi="Corbel"/>
          <w:sz w:val="22"/>
          <w:szCs w:val="22"/>
          <w:lang w:val="en-GB"/>
        </w:rPr>
        <w:t>were trained</w:t>
      </w:r>
      <w:r w:rsidRPr="0003093F">
        <w:rPr>
          <w:rFonts w:ascii="Corbel" w:hAnsi="Corbel"/>
          <w:sz w:val="22"/>
          <w:szCs w:val="22"/>
          <w:lang w:val="en-GB"/>
        </w:rPr>
        <w:t xml:space="preserve"> on the work</w:t>
      </w:r>
      <w:r>
        <w:rPr>
          <w:rFonts w:ascii="Corbel" w:hAnsi="Corbel"/>
          <w:sz w:val="22"/>
          <w:szCs w:val="22"/>
          <w:lang w:val="en-GB"/>
        </w:rPr>
        <w:t>ing</w:t>
      </w:r>
      <w:r w:rsidRPr="0003093F">
        <w:rPr>
          <w:rFonts w:ascii="Corbel" w:hAnsi="Corbel"/>
          <w:sz w:val="22"/>
          <w:szCs w:val="22"/>
          <w:lang w:val="en-GB"/>
        </w:rPr>
        <w:t xml:space="preserve"> methodolog</w:t>
      </w:r>
      <w:r>
        <w:rPr>
          <w:rFonts w:ascii="Corbel" w:hAnsi="Corbel"/>
          <w:sz w:val="22"/>
          <w:szCs w:val="22"/>
          <w:lang w:val="en-GB"/>
        </w:rPr>
        <w:t xml:space="preserve">ies and </w:t>
      </w:r>
      <w:r w:rsidRPr="0003093F">
        <w:rPr>
          <w:rFonts w:ascii="Corbel" w:hAnsi="Corbel"/>
          <w:sz w:val="22"/>
          <w:szCs w:val="22"/>
          <w:lang w:val="en-GB"/>
        </w:rPr>
        <w:t>analy</w:t>
      </w:r>
      <w:r>
        <w:rPr>
          <w:rFonts w:ascii="Corbel" w:hAnsi="Corbel"/>
          <w:sz w:val="22"/>
          <w:szCs w:val="22"/>
          <w:lang w:val="en-GB"/>
        </w:rPr>
        <w:t>tical tools to be applied to</w:t>
      </w:r>
      <w:r w:rsidRPr="0003093F">
        <w:rPr>
          <w:rFonts w:ascii="Corbel" w:hAnsi="Corbel"/>
          <w:sz w:val="22"/>
          <w:szCs w:val="22"/>
          <w:lang w:val="en-GB"/>
        </w:rPr>
        <w:t xml:space="preserve"> Arab Customs Union</w:t>
      </w:r>
      <w:r>
        <w:rPr>
          <w:rFonts w:ascii="Corbel" w:hAnsi="Corbel"/>
          <w:sz w:val="22"/>
          <w:szCs w:val="22"/>
          <w:lang w:val="en-GB"/>
        </w:rPr>
        <w:t>-related</w:t>
      </w:r>
      <w:r w:rsidRPr="000F786B">
        <w:rPr>
          <w:rFonts w:ascii="Corbel" w:hAnsi="Corbel"/>
          <w:sz w:val="22"/>
          <w:szCs w:val="22"/>
          <w:lang w:val="en-GB"/>
        </w:rPr>
        <w:t xml:space="preserve"> </w:t>
      </w:r>
      <w:r w:rsidRPr="0003093F">
        <w:rPr>
          <w:rFonts w:ascii="Corbel" w:hAnsi="Corbel"/>
          <w:sz w:val="22"/>
          <w:szCs w:val="22"/>
          <w:lang w:val="en-GB"/>
        </w:rPr>
        <w:t>policies.</w:t>
      </w:r>
      <w:bookmarkEnd w:id="130"/>
    </w:p>
    <w:p w14:paraId="1342DAE5" w14:textId="77777777" w:rsidR="0034072F" w:rsidRPr="00CD1AED" w:rsidRDefault="0034072F" w:rsidP="000168EC">
      <w:pPr>
        <w:pStyle w:val="ListParagraph"/>
        <w:numPr>
          <w:ilvl w:val="0"/>
          <w:numId w:val="9"/>
        </w:numPr>
        <w:spacing w:line="276" w:lineRule="auto"/>
        <w:contextualSpacing w:val="0"/>
        <w:jc w:val="both"/>
        <w:outlineLvl w:val="0"/>
        <w:rPr>
          <w:rFonts w:cstheme="minorHAnsi"/>
        </w:rPr>
      </w:pPr>
      <w:bookmarkStart w:id="131" w:name="_Toc103506667"/>
      <w:r w:rsidRPr="0003093F">
        <w:rPr>
          <w:rFonts w:ascii="Corbel" w:hAnsi="Corbel"/>
          <w:sz w:val="22"/>
          <w:szCs w:val="22"/>
          <w:lang w:val="en-GB"/>
        </w:rPr>
        <w:t xml:space="preserve">The </w:t>
      </w:r>
      <w:r>
        <w:rPr>
          <w:rFonts w:ascii="Corbel" w:hAnsi="Corbel"/>
          <w:sz w:val="22"/>
          <w:szCs w:val="22"/>
          <w:lang w:val="en-GB"/>
        </w:rPr>
        <w:t>project</w:t>
      </w:r>
      <w:r w:rsidRPr="0003093F">
        <w:rPr>
          <w:rFonts w:ascii="Corbel" w:hAnsi="Corbel"/>
          <w:sz w:val="22"/>
          <w:szCs w:val="22"/>
          <w:lang w:val="en-GB"/>
        </w:rPr>
        <w:t xml:space="preserve"> coached LAS staffs on how to draft working documents, modalities of negotiation</w:t>
      </w:r>
      <w:r>
        <w:rPr>
          <w:rFonts w:ascii="Corbel" w:hAnsi="Corbel"/>
          <w:sz w:val="22"/>
          <w:szCs w:val="22"/>
          <w:lang w:val="en-GB"/>
        </w:rPr>
        <w:t>,</w:t>
      </w:r>
      <w:r w:rsidRPr="0003093F">
        <w:rPr>
          <w:rFonts w:ascii="Corbel" w:hAnsi="Corbel"/>
          <w:sz w:val="22"/>
          <w:szCs w:val="22"/>
          <w:lang w:val="en-GB"/>
        </w:rPr>
        <w:t xml:space="preserve"> and thematic analysis </w:t>
      </w:r>
      <w:r>
        <w:rPr>
          <w:rFonts w:ascii="Corbel" w:hAnsi="Corbel"/>
          <w:sz w:val="22"/>
          <w:szCs w:val="22"/>
          <w:lang w:val="en-GB"/>
        </w:rPr>
        <w:t>to provide quality inputs to</w:t>
      </w:r>
      <w:r w:rsidRPr="0003093F">
        <w:rPr>
          <w:rFonts w:ascii="Corbel" w:hAnsi="Corbel"/>
          <w:sz w:val="22"/>
          <w:szCs w:val="22"/>
          <w:lang w:val="en-GB"/>
        </w:rPr>
        <w:t xml:space="preserve"> the </w:t>
      </w:r>
      <w:r>
        <w:rPr>
          <w:rFonts w:ascii="Corbel" w:hAnsi="Corbel"/>
          <w:sz w:val="22"/>
          <w:szCs w:val="22"/>
          <w:lang w:val="en-GB"/>
        </w:rPr>
        <w:t xml:space="preserve">LAS ECOSOC </w:t>
      </w:r>
      <w:r w:rsidRPr="0003093F">
        <w:rPr>
          <w:rFonts w:ascii="Corbel" w:hAnsi="Corbel"/>
          <w:sz w:val="22"/>
          <w:szCs w:val="22"/>
          <w:lang w:val="en-GB"/>
        </w:rPr>
        <w:t xml:space="preserve">Working Groups </w:t>
      </w:r>
      <w:r>
        <w:rPr>
          <w:rFonts w:ascii="Corbel" w:hAnsi="Corbel"/>
          <w:sz w:val="22"/>
          <w:szCs w:val="22"/>
          <w:lang w:val="en-GB"/>
        </w:rPr>
        <w:t>and</w:t>
      </w:r>
      <w:r w:rsidRPr="0003093F">
        <w:rPr>
          <w:rFonts w:ascii="Corbel" w:hAnsi="Corbel"/>
          <w:sz w:val="22"/>
          <w:szCs w:val="22"/>
          <w:lang w:val="en-GB"/>
        </w:rPr>
        <w:t xml:space="preserve"> Technical Committees.</w:t>
      </w:r>
      <w:bookmarkEnd w:id="131"/>
      <w:r w:rsidRPr="0003093F">
        <w:rPr>
          <w:rFonts w:ascii="Corbel" w:hAnsi="Corbel"/>
          <w:sz w:val="22"/>
          <w:szCs w:val="22"/>
          <w:lang w:val="en-GB"/>
        </w:rPr>
        <w:t xml:space="preserve"> </w:t>
      </w:r>
    </w:p>
    <w:p w14:paraId="5804C553" w14:textId="77777777" w:rsidR="0034072F" w:rsidRPr="0003093F" w:rsidRDefault="0034072F" w:rsidP="0034072F">
      <w:pPr>
        <w:spacing w:line="276" w:lineRule="auto"/>
        <w:jc w:val="both"/>
        <w:outlineLvl w:val="0"/>
        <w:rPr>
          <w:rFonts w:ascii="Corbel" w:hAnsi="Corbel" w:cstheme="minorHAnsi"/>
          <w:b/>
          <w:bCs/>
          <w:sz w:val="22"/>
          <w:szCs w:val="22"/>
          <w:lang w:val="en-GB"/>
        </w:rPr>
      </w:pPr>
    </w:p>
    <w:p w14:paraId="4A12F5E4" w14:textId="5E9FF099" w:rsidR="0034072F" w:rsidRDefault="0034072F" w:rsidP="0034072F">
      <w:pPr>
        <w:spacing w:line="276" w:lineRule="auto"/>
        <w:jc w:val="both"/>
        <w:outlineLvl w:val="0"/>
        <w:rPr>
          <w:rFonts w:ascii="Corbel" w:hAnsi="Corbel"/>
          <w:sz w:val="22"/>
          <w:szCs w:val="22"/>
          <w:lang w:val="en-GB"/>
        </w:rPr>
      </w:pPr>
      <w:bookmarkStart w:id="132" w:name="_Toc103506668"/>
      <w:r>
        <w:rPr>
          <w:rFonts w:ascii="Corbel" w:hAnsi="Corbel" w:cstheme="minorHAnsi"/>
          <w:sz w:val="22"/>
          <w:szCs w:val="22"/>
          <w:lang w:val="en-GB"/>
        </w:rPr>
        <w:t>The project designed a new tool for monitoring progress in</w:t>
      </w:r>
      <w:r w:rsidRPr="0003093F">
        <w:rPr>
          <w:rFonts w:ascii="Corbel" w:hAnsi="Corbel" w:cstheme="minorHAnsi"/>
          <w:sz w:val="22"/>
          <w:szCs w:val="22"/>
          <w:lang w:val="en-GB"/>
        </w:rPr>
        <w:t xml:space="preserve"> the </w:t>
      </w:r>
      <w:r>
        <w:rPr>
          <w:rFonts w:ascii="Corbel" w:hAnsi="Corbel" w:cstheme="minorHAnsi"/>
          <w:sz w:val="22"/>
          <w:szCs w:val="22"/>
          <w:lang w:val="en-GB"/>
        </w:rPr>
        <w:t xml:space="preserve">PAFTA </w:t>
      </w:r>
      <w:r w:rsidRPr="0003093F">
        <w:rPr>
          <w:rFonts w:ascii="Corbel" w:hAnsi="Corbel" w:cstheme="minorHAnsi"/>
          <w:sz w:val="22"/>
          <w:szCs w:val="22"/>
          <w:lang w:val="en-GB"/>
        </w:rPr>
        <w:t>implementation progress</w:t>
      </w:r>
      <w:r w:rsidR="00F87D4F">
        <w:rPr>
          <w:rFonts w:ascii="Corbel" w:hAnsi="Corbel" w:cstheme="minorHAnsi"/>
          <w:sz w:val="22"/>
          <w:szCs w:val="22"/>
          <w:lang w:val="en-GB"/>
        </w:rPr>
        <w:t>, to compensate the lack of</w:t>
      </w:r>
      <w:r w:rsidR="00F87D4F" w:rsidRPr="00522437">
        <w:rPr>
          <w:rFonts w:ascii="Corbel" w:hAnsi="Corbel"/>
          <w:sz w:val="22"/>
          <w:szCs w:val="22"/>
          <w:lang w:val="en-GB"/>
        </w:rPr>
        <w:t xml:space="preserve"> adequate information to assess the progress of the realization of commitments under </w:t>
      </w:r>
      <w:r w:rsidR="00184455" w:rsidRPr="00522437">
        <w:rPr>
          <w:rFonts w:ascii="Corbel" w:hAnsi="Corbel"/>
          <w:sz w:val="22"/>
          <w:szCs w:val="22"/>
          <w:lang w:val="en-GB"/>
        </w:rPr>
        <w:lastRenderedPageBreak/>
        <w:t>PAFTA.</w:t>
      </w:r>
      <w:r>
        <w:rPr>
          <w:rFonts w:ascii="Corbel" w:hAnsi="Corbel" w:cstheme="minorHAnsi"/>
          <w:sz w:val="22"/>
          <w:szCs w:val="22"/>
          <w:lang w:val="en-GB"/>
        </w:rPr>
        <w:t xml:space="preserve"> </w:t>
      </w:r>
      <w:r w:rsidRPr="0003093F">
        <w:rPr>
          <w:rFonts w:ascii="Corbel" w:hAnsi="Corbel"/>
          <w:sz w:val="22"/>
          <w:szCs w:val="22"/>
          <w:lang w:val="en-GB"/>
        </w:rPr>
        <w:t xml:space="preserve">The new template </w:t>
      </w:r>
      <w:r>
        <w:rPr>
          <w:rFonts w:ascii="Corbel" w:hAnsi="Corbel"/>
          <w:sz w:val="22"/>
          <w:szCs w:val="22"/>
          <w:lang w:val="en-GB"/>
        </w:rPr>
        <w:t>for member states</w:t>
      </w:r>
      <w:r w:rsidRPr="0003093F">
        <w:rPr>
          <w:rFonts w:ascii="Corbel" w:hAnsi="Corbel"/>
          <w:sz w:val="22"/>
          <w:szCs w:val="22"/>
          <w:lang w:val="en-GB"/>
        </w:rPr>
        <w:t xml:space="preserve"> progress reporting was endorsed by ECOSOC </w:t>
      </w:r>
      <w:r>
        <w:rPr>
          <w:rFonts w:ascii="Corbel" w:hAnsi="Corbel"/>
          <w:sz w:val="22"/>
          <w:szCs w:val="22"/>
          <w:lang w:val="en-GB"/>
        </w:rPr>
        <w:t>in</w:t>
      </w:r>
      <w:r w:rsidRPr="0003093F">
        <w:rPr>
          <w:rFonts w:ascii="Corbel" w:hAnsi="Corbel"/>
          <w:sz w:val="22"/>
          <w:szCs w:val="22"/>
          <w:lang w:val="en-GB"/>
        </w:rPr>
        <w:t xml:space="preserve"> 2019</w:t>
      </w:r>
      <w:r>
        <w:rPr>
          <w:rFonts w:ascii="Corbel" w:hAnsi="Corbel"/>
          <w:sz w:val="22"/>
          <w:szCs w:val="22"/>
          <w:lang w:val="en-GB"/>
        </w:rPr>
        <w:t xml:space="preserve"> and started to be applied in </w:t>
      </w:r>
      <w:r w:rsidRPr="0003093F">
        <w:rPr>
          <w:rFonts w:ascii="Corbel" w:hAnsi="Corbel"/>
          <w:sz w:val="22"/>
          <w:szCs w:val="22"/>
          <w:lang w:val="en-GB"/>
        </w:rPr>
        <w:t>2020.</w:t>
      </w:r>
      <w:r>
        <w:rPr>
          <w:rFonts w:ascii="Corbel" w:hAnsi="Corbel"/>
          <w:sz w:val="22"/>
          <w:szCs w:val="22"/>
          <w:lang w:val="en-GB"/>
        </w:rPr>
        <w:t xml:space="preserve"> </w:t>
      </w:r>
      <w:r w:rsidR="00F87D4F" w:rsidRPr="00522437">
        <w:rPr>
          <w:rFonts w:ascii="Corbel" w:hAnsi="Corbel"/>
          <w:sz w:val="22"/>
          <w:szCs w:val="22"/>
          <w:lang w:val="en-GB"/>
        </w:rPr>
        <w:t>Fifteen Arab countries</w:t>
      </w:r>
      <w:r w:rsidR="00EC4E23">
        <w:rPr>
          <w:rFonts w:ascii="Corbel" w:hAnsi="Corbel"/>
          <w:sz w:val="22"/>
          <w:szCs w:val="22"/>
          <w:lang w:val="en-GB"/>
        </w:rPr>
        <w:t xml:space="preserve">, in cooperation with the </w:t>
      </w:r>
      <w:r w:rsidR="00EC4E23" w:rsidRPr="00522437">
        <w:rPr>
          <w:rFonts w:ascii="Corbel" w:hAnsi="Corbel"/>
          <w:sz w:val="22"/>
          <w:szCs w:val="22"/>
          <w:lang w:val="en-GB"/>
        </w:rPr>
        <w:t>Arab Chamber of Commerce and Industry</w:t>
      </w:r>
      <w:r w:rsidR="00EC4E23">
        <w:rPr>
          <w:rFonts w:ascii="Corbel" w:hAnsi="Corbel"/>
          <w:sz w:val="22"/>
          <w:szCs w:val="22"/>
          <w:lang w:val="en-GB"/>
        </w:rPr>
        <w:t>,</w:t>
      </w:r>
      <w:r w:rsidR="00EC4E23" w:rsidRPr="00522437">
        <w:rPr>
          <w:rFonts w:ascii="Corbel" w:hAnsi="Corbel"/>
          <w:sz w:val="22"/>
          <w:szCs w:val="22"/>
          <w:lang w:val="en-GB"/>
        </w:rPr>
        <w:t xml:space="preserve"> </w:t>
      </w:r>
      <w:r w:rsidR="00F87D4F" w:rsidRPr="00522437">
        <w:rPr>
          <w:rFonts w:ascii="Corbel" w:hAnsi="Corbel"/>
          <w:sz w:val="22"/>
          <w:szCs w:val="22"/>
          <w:lang w:val="en-GB"/>
        </w:rPr>
        <w:t>applied the upgraded standard report to present the implementation of PAFTA to the Monitoring and Enforcement Committee under ECOSOC.</w:t>
      </w:r>
      <w:r w:rsidR="00F87D4F">
        <w:rPr>
          <w:rFonts w:ascii="Corbel" w:hAnsi="Corbel"/>
          <w:sz w:val="22"/>
          <w:szCs w:val="22"/>
          <w:lang w:val="en-GB"/>
        </w:rPr>
        <w:t xml:space="preserve"> </w:t>
      </w:r>
      <w:r w:rsidR="00E426E1">
        <w:rPr>
          <w:rFonts w:ascii="Corbel" w:hAnsi="Corbel"/>
          <w:sz w:val="22"/>
          <w:szCs w:val="22"/>
          <w:lang w:val="en-GB"/>
        </w:rPr>
        <w:t xml:space="preserve">Conflict-affected countries such as </w:t>
      </w:r>
      <w:r w:rsidR="00E426E1" w:rsidRPr="00522437">
        <w:rPr>
          <w:rFonts w:ascii="Corbel" w:hAnsi="Corbel"/>
          <w:sz w:val="22"/>
          <w:szCs w:val="22"/>
          <w:lang w:val="en-GB"/>
        </w:rPr>
        <w:t xml:space="preserve">Yemen and Libya </w:t>
      </w:r>
      <w:r w:rsidR="00E426E1">
        <w:rPr>
          <w:rFonts w:ascii="Corbel" w:hAnsi="Corbel"/>
          <w:sz w:val="22"/>
          <w:szCs w:val="22"/>
          <w:lang w:val="en-GB"/>
        </w:rPr>
        <w:t>were not capable to</w:t>
      </w:r>
      <w:r w:rsidR="00E426E1" w:rsidRPr="00522437">
        <w:rPr>
          <w:rFonts w:ascii="Corbel" w:hAnsi="Corbel"/>
          <w:sz w:val="22"/>
          <w:szCs w:val="22"/>
          <w:lang w:val="en-GB"/>
        </w:rPr>
        <w:t xml:space="preserve"> submit their reports</w:t>
      </w:r>
      <w:r w:rsidR="00E426E1">
        <w:rPr>
          <w:rFonts w:ascii="Corbel" w:hAnsi="Corbel"/>
          <w:sz w:val="22"/>
          <w:szCs w:val="22"/>
          <w:lang w:val="en-GB"/>
        </w:rPr>
        <w:t xml:space="preserve">. </w:t>
      </w:r>
      <w:r>
        <w:rPr>
          <w:rFonts w:ascii="Corbel" w:hAnsi="Corbel"/>
          <w:sz w:val="22"/>
          <w:szCs w:val="22"/>
          <w:lang w:val="en-GB"/>
        </w:rPr>
        <w:t>The templated facilitated the a</w:t>
      </w:r>
      <w:r w:rsidRPr="0003093F">
        <w:rPr>
          <w:rFonts w:ascii="Corbel" w:hAnsi="Corbel" w:cstheme="minorHAnsi"/>
          <w:sz w:val="22"/>
          <w:szCs w:val="22"/>
          <w:lang w:val="en-GB"/>
        </w:rPr>
        <w:t xml:space="preserve">nalysis of the impact of the COVID-19 </w:t>
      </w:r>
      <w:r>
        <w:rPr>
          <w:rFonts w:ascii="Corbel" w:hAnsi="Corbel" w:cstheme="minorHAnsi"/>
          <w:sz w:val="22"/>
          <w:szCs w:val="22"/>
          <w:lang w:val="en-GB"/>
        </w:rPr>
        <w:t>pandemic</w:t>
      </w:r>
      <w:r w:rsidRPr="0003093F">
        <w:rPr>
          <w:rFonts w:ascii="Corbel" w:hAnsi="Corbel" w:cstheme="minorHAnsi"/>
          <w:sz w:val="22"/>
          <w:szCs w:val="22"/>
          <w:lang w:val="en-GB"/>
        </w:rPr>
        <w:t xml:space="preserve"> on</w:t>
      </w:r>
      <w:r w:rsidRPr="00C12391">
        <w:rPr>
          <w:rFonts w:ascii="Corbel" w:hAnsi="Corbel"/>
          <w:sz w:val="22"/>
          <w:szCs w:val="22"/>
          <w:lang w:val="en-GB"/>
        </w:rPr>
        <w:t xml:space="preserve"> international </w:t>
      </w:r>
      <w:r>
        <w:rPr>
          <w:rFonts w:ascii="Corbel" w:hAnsi="Corbel"/>
          <w:sz w:val="22"/>
          <w:szCs w:val="22"/>
          <w:lang w:val="en-GB"/>
        </w:rPr>
        <w:t xml:space="preserve">and regional </w:t>
      </w:r>
      <w:r w:rsidRPr="00C12391">
        <w:rPr>
          <w:rFonts w:ascii="Corbel" w:hAnsi="Corbel"/>
          <w:sz w:val="22"/>
          <w:szCs w:val="22"/>
          <w:lang w:val="en-GB"/>
        </w:rPr>
        <w:t>trade in goods and services</w:t>
      </w:r>
      <w:r>
        <w:rPr>
          <w:rFonts w:ascii="Corbel" w:hAnsi="Corbel"/>
          <w:sz w:val="22"/>
          <w:szCs w:val="22"/>
          <w:lang w:val="en-GB"/>
        </w:rPr>
        <w:t>, including its implications for</w:t>
      </w:r>
      <w:r w:rsidRPr="00C12391">
        <w:rPr>
          <w:rFonts w:ascii="Corbel" w:hAnsi="Corbel"/>
          <w:sz w:val="22"/>
          <w:szCs w:val="22"/>
          <w:lang w:val="en-GB"/>
        </w:rPr>
        <w:t xml:space="preserve"> economic integration</w:t>
      </w:r>
      <w:r>
        <w:rPr>
          <w:rFonts w:ascii="Corbel" w:hAnsi="Corbel"/>
          <w:sz w:val="22"/>
          <w:szCs w:val="22"/>
          <w:lang w:val="en-GB"/>
        </w:rPr>
        <w:t xml:space="preserve"> among Arab countries and</w:t>
      </w:r>
      <w:r w:rsidRPr="00C12391">
        <w:rPr>
          <w:rFonts w:ascii="Corbel" w:hAnsi="Corbel"/>
          <w:sz w:val="22"/>
          <w:szCs w:val="22"/>
          <w:lang w:val="en-GB"/>
        </w:rPr>
        <w:t xml:space="preserve"> </w:t>
      </w:r>
      <w:r>
        <w:rPr>
          <w:rFonts w:ascii="Corbel" w:hAnsi="Corbel"/>
          <w:sz w:val="22"/>
          <w:szCs w:val="22"/>
          <w:lang w:val="en-GB"/>
        </w:rPr>
        <w:t xml:space="preserve">for </w:t>
      </w:r>
      <w:r w:rsidRPr="00C12391">
        <w:rPr>
          <w:rFonts w:ascii="Corbel" w:hAnsi="Corbel"/>
          <w:sz w:val="22"/>
          <w:szCs w:val="22"/>
          <w:lang w:val="en-GB"/>
        </w:rPr>
        <w:t>the implementation of the Arab Agreement in trade in services.</w:t>
      </w:r>
      <w:bookmarkEnd w:id="132"/>
      <w:r w:rsidR="00522437">
        <w:rPr>
          <w:rFonts w:ascii="Corbel" w:hAnsi="Corbel"/>
          <w:sz w:val="22"/>
          <w:szCs w:val="22"/>
          <w:lang w:val="en-GB"/>
        </w:rPr>
        <w:t xml:space="preserve"> </w:t>
      </w:r>
    </w:p>
    <w:p w14:paraId="0844D015" w14:textId="77777777" w:rsidR="00567A58" w:rsidRDefault="00567A58" w:rsidP="0034072F">
      <w:pPr>
        <w:spacing w:line="276" w:lineRule="auto"/>
        <w:jc w:val="both"/>
        <w:outlineLvl w:val="0"/>
        <w:rPr>
          <w:rFonts w:ascii="Corbel" w:hAnsi="Corbel"/>
          <w:sz w:val="22"/>
          <w:szCs w:val="22"/>
          <w:lang w:val="en-GB"/>
        </w:rPr>
      </w:pPr>
    </w:p>
    <w:p w14:paraId="484F0392" w14:textId="39DE6CC1" w:rsidR="00567A58" w:rsidRPr="00C12391" w:rsidRDefault="00567A58" w:rsidP="0034072F">
      <w:pPr>
        <w:spacing w:line="276" w:lineRule="auto"/>
        <w:jc w:val="both"/>
        <w:outlineLvl w:val="0"/>
        <w:rPr>
          <w:rFonts w:ascii="Corbel" w:hAnsi="Corbel"/>
          <w:sz w:val="22"/>
          <w:szCs w:val="22"/>
          <w:lang w:val="en-GB"/>
        </w:rPr>
      </w:pPr>
      <w:bookmarkStart w:id="133" w:name="_Toc103506669"/>
      <w:r w:rsidRPr="4F6DD0A6">
        <w:rPr>
          <w:rFonts w:ascii="Corbel" w:hAnsi="Corbel" w:cstheme="minorBidi"/>
          <w:sz w:val="22"/>
          <w:szCs w:val="22"/>
          <w:lang w:val="en-GB"/>
        </w:rPr>
        <w:t xml:space="preserve">The project also worked on the improvement of the Arab Economic Integration Department Website, to improve policy transparency and access to information on new PAFTA requirements and related knowledge </w:t>
      </w:r>
      <w:r w:rsidR="006A435B" w:rsidRPr="4F6DD0A6">
        <w:rPr>
          <w:rFonts w:ascii="Corbel" w:hAnsi="Corbel" w:cstheme="minorBidi"/>
          <w:sz w:val="22"/>
          <w:szCs w:val="22"/>
          <w:lang w:val="en-GB"/>
        </w:rPr>
        <w:t>products and</w:t>
      </w:r>
      <w:r w:rsidRPr="4F6DD0A6">
        <w:rPr>
          <w:rFonts w:ascii="Corbel" w:hAnsi="Corbel" w:cstheme="minorBidi"/>
          <w:sz w:val="22"/>
          <w:szCs w:val="22"/>
          <w:lang w:val="en-GB"/>
        </w:rPr>
        <w:t xml:space="preserve"> provide an interactive platform to LAS member states. In December 2021, LAS cancelled the launch of the platform due to a new internal </w:t>
      </w:r>
      <w:r w:rsidR="006A435B" w:rsidRPr="4F6DD0A6">
        <w:rPr>
          <w:rFonts w:ascii="Corbel" w:hAnsi="Corbel" w:cstheme="minorBidi"/>
          <w:sz w:val="22"/>
          <w:szCs w:val="22"/>
          <w:lang w:val="en-GB"/>
        </w:rPr>
        <w:t>regulation</w:t>
      </w:r>
      <w:r w:rsidRPr="4F6DD0A6">
        <w:rPr>
          <w:rFonts w:ascii="Corbel" w:hAnsi="Corbel" w:cstheme="minorBidi"/>
          <w:sz w:val="22"/>
          <w:szCs w:val="22"/>
          <w:lang w:val="en-GB"/>
        </w:rPr>
        <w:t xml:space="preserve"> limiting the hosting and development of online platforms to its own IT division for cyber-security reasons.</w:t>
      </w:r>
      <w:bookmarkEnd w:id="133"/>
    </w:p>
    <w:p w14:paraId="18D9BD7A" w14:textId="77777777" w:rsidR="00D70120" w:rsidRPr="00D70120" w:rsidRDefault="00D70120" w:rsidP="00D70120">
      <w:pPr>
        <w:spacing w:line="276" w:lineRule="auto"/>
        <w:jc w:val="both"/>
        <w:outlineLvl w:val="0"/>
        <w:rPr>
          <w:rFonts w:ascii="Corbel" w:hAnsi="Corbel"/>
          <w:b/>
          <w:bCs/>
          <w:iCs/>
          <w:sz w:val="21"/>
          <w:szCs w:val="21"/>
          <w:lang w:val="en-GB"/>
        </w:rPr>
      </w:pPr>
    </w:p>
    <w:tbl>
      <w:tblPr>
        <w:tblW w:w="10055" w:type="dxa"/>
        <w:jc w:val="center"/>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Look w:val="04A0" w:firstRow="1" w:lastRow="0" w:firstColumn="1" w:lastColumn="0" w:noHBand="0" w:noVBand="1"/>
      </w:tblPr>
      <w:tblGrid>
        <w:gridCol w:w="2997"/>
        <w:gridCol w:w="3089"/>
        <w:gridCol w:w="3969"/>
      </w:tblGrid>
      <w:tr w:rsidR="0056537C" w:rsidRPr="00EF1F01" w14:paraId="0AD1FC50" w14:textId="77777777" w:rsidTr="4F6DD0A6">
        <w:trPr>
          <w:trHeight w:val="412"/>
          <w:jc w:val="center"/>
        </w:trPr>
        <w:tc>
          <w:tcPr>
            <w:tcW w:w="10055" w:type="dxa"/>
            <w:gridSpan w:val="3"/>
            <w:shd w:val="clear" w:color="auto" w:fill="0070C0"/>
          </w:tcPr>
          <w:p w14:paraId="231C2C08" w14:textId="312F3D6E" w:rsidR="0056537C" w:rsidRPr="00EF1F01" w:rsidRDefault="0056537C" w:rsidP="000B6C7A">
            <w:pPr>
              <w:rPr>
                <w:rFonts w:ascii="Corbel" w:eastAsia="Times New Roman" w:hAnsi="Corbel"/>
                <w:color w:val="000000"/>
                <w:sz w:val="21"/>
                <w:szCs w:val="21"/>
                <w:lang w:val="en-GB"/>
              </w:rPr>
            </w:pPr>
            <w:r w:rsidRPr="00EF1F01">
              <w:rPr>
                <w:rFonts w:ascii="Corbel" w:hAnsi="Corbel" w:cs="Arial"/>
                <w:b/>
                <w:color w:val="FFFFFF"/>
                <w:sz w:val="21"/>
                <w:szCs w:val="21"/>
                <w:lang w:val="en-GB" w:eastAsia="en-US"/>
              </w:rPr>
              <w:t xml:space="preserve">Project Output 2: </w:t>
            </w:r>
            <w:r w:rsidRPr="00EF1F01">
              <w:rPr>
                <w:rFonts w:ascii="Corbel" w:hAnsi="Corbel" w:cs="Arial"/>
                <w:b/>
                <w:bCs/>
                <w:color w:val="FFFFFF"/>
                <w:sz w:val="21"/>
                <w:szCs w:val="21"/>
                <w:lang w:val="en-GB" w:eastAsia="en-US"/>
              </w:rPr>
              <w:t>Provision of support for the organizational capacity of LAS secretariat to facilitate the regional economic integration agenda</w:t>
            </w:r>
          </w:p>
        </w:tc>
      </w:tr>
      <w:tr w:rsidR="0056537C" w:rsidRPr="00EF1F01" w14:paraId="1EBCEF5D" w14:textId="77777777" w:rsidTr="4F6DD0A6">
        <w:trPr>
          <w:trHeight w:val="412"/>
          <w:jc w:val="center"/>
        </w:trPr>
        <w:tc>
          <w:tcPr>
            <w:tcW w:w="2997" w:type="dxa"/>
            <w:shd w:val="clear" w:color="auto" w:fill="auto"/>
          </w:tcPr>
          <w:p w14:paraId="250AC3FE" w14:textId="78B5B0AA" w:rsidR="0056537C" w:rsidRPr="00EF1F01" w:rsidRDefault="0056537C" w:rsidP="00112082">
            <w:pPr>
              <w:widowControl w:val="0"/>
              <w:spacing w:line="288" w:lineRule="auto"/>
              <w:ind w:left="99"/>
              <w:contextualSpacing/>
              <w:outlineLvl w:val="0"/>
              <w:rPr>
                <w:rFonts w:ascii="Corbel" w:eastAsia="Times New Roman" w:hAnsi="Corbel" w:cs="Arial"/>
                <w:b/>
                <w:sz w:val="21"/>
                <w:szCs w:val="21"/>
                <w:lang w:val="en-GB" w:eastAsia="en-US"/>
              </w:rPr>
            </w:pPr>
            <w:bookmarkStart w:id="134" w:name="_Toc103506670"/>
            <w:r w:rsidRPr="00EF1F01">
              <w:rPr>
                <w:rFonts w:ascii="Corbel" w:eastAsia="Times New Roman" w:hAnsi="Corbel" w:cs="Arial"/>
                <w:b/>
                <w:sz w:val="21"/>
                <w:szCs w:val="21"/>
                <w:lang w:val="en-GB" w:eastAsia="en-US"/>
              </w:rPr>
              <w:t>Output indicators</w:t>
            </w:r>
            <w:bookmarkEnd w:id="134"/>
          </w:p>
        </w:tc>
        <w:tc>
          <w:tcPr>
            <w:tcW w:w="3089" w:type="dxa"/>
            <w:shd w:val="clear" w:color="auto" w:fill="auto"/>
          </w:tcPr>
          <w:p w14:paraId="290D9DAC" w14:textId="11543433" w:rsidR="0056537C" w:rsidRPr="00EF1F01" w:rsidRDefault="00480C35" w:rsidP="000B6C7A">
            <w:pPr>
              <w:widowControl w:val="0"/>
              <w:spacing w:line="288" w:lineRule="auto"/>
              <w:ind w:left="99"/>
              <w:contextualSpacing/>
              <w:outlineLvl w:val="0"/>
              <w:rPr>
                <w:rFonts w:ascii="Corbel" w:eastAsia="Times New Roman" w:hAnsi="Corbel" w:cs="Arial"/>
                <w:b/>
                <w:sz w:val="21"/>
                <w:szCs w:val="21"/>
                <w:lang w:val="en-GB" w:eastAsia="en-US"/>
              </w:rPr>
            </w:pPr>
            <w:bookmarkStart w:id="135" w:name="_Toc103506671"/>
            <w:r w:rsidRPr="00EF1F01">
              <w:rPr>
                <w:rFonts w:ascii="Corbel" w:eastAsia="Times New Roman" w:hAnsi="Corbel" w:cs="Arial"/>
                <w:b/>
                <w:sz w:val="21"/>
                <w:szCs w:val="21"/>
                <w:lang w:val="en-GB" w:eastAsia="en-US"/>
              </w:rPr>
              <w:t xml:space="preserve">Baselines &amp; </w:t>
            </w:r>
            <w:r w:rsidR="0056537C" w:rsidRPr="00EF1F01">
              <w:rPr>
                <w:rFonts w:ascii="Corbel" w:eastAsia="Times New Roman" w:hAnsi="Corbel" w:cs="Arial"/>
                <w:b/>
                <w:sz w:val="21"/>
                <w:szCs w:val="21"/>
                <w:lang w:val="en-GB" w:eastAsia="en-US"/>
              </w:rPr>
              <w:t>Targets</w:t>
            </w:r>
            <w:bookmarkEnd w:id="135"/>
            <w:r w:rsidR="0056537C" w:rsidRPr="00EF1F01">
              <w:rPr>
                <w:rFonts w:ascii="Corbel" w:eastAsia="Times New Roman" w:hAnsi="Corbel" w:cs="Arial"/>
                <w:b/>
                <w:sz w:val="21"/>
                <w:szCs w:val="21"/>
                <w:lang w:val="en-GB" w:eastAsia="en-US"/>
              </w:rPr>
              <w:t xml:space="preserve"> </w:t>
            </w:r>
          </w:p>
        </w:tc>
        <w:tc>
          <w:tcPr>
            <w:tcW w:w="3969" w:type="dxa"/>
            <w:shd w:val="clear" w:color="auto" w:fill="auto"/>
          </w:tcPr>
          <w:p w14:paraId="0A66A462" w14:textId="77777777" w:rsidR="0056537C" w:rsidRPr="00EF1F01" w:rsidRDefault="0056537C" w:rsidP="000B6C7A">
            <w:pPr>
              <w:widowControl w:val="0"/>
              <w:spacing w:line="288" w:lineRule="auto"/>
              <w:ind w:left="99"/>
              <w:contextualSpacing/>
              <w:outlineLvl w:val="0"/>
              <w:rPr>
                <w:rFonts w:ascii="Corbel" w:eastAsia="Times New Roman" w:hAnsi="Corbel" w:cs="Arial"/>
                <w:b/>
                <w:sz w:val="21"/>
                <w:szCs w:val="21"/>
                <w:lang w:val="en-GB" w:eastAsia="en-US"/>
              </w:rPr>
            </w:pPr>
            <w:bookmarkStart w:id="136" w:name="_Toc103506672"/>
            <w:r w:rsidRPr="00EF1F01">
              <w:rPr>
                <w:rFonts w:ascii="Corbel" w:eastAsia="Times New Roman" w:hAnsi="Corbel" w:cs="Arial"/>
                <w:b/>
                <w:sz w:val="21"/>
                <w:szCs w:val="21"/>
                <w:lang w:val="en-GB" w:eastAsia="en-US"/>
              </w:rPr>
              <w:t>Progress against targets</w:t>
            </w:r>
            <w:bookmarkEnd w:id="136"/>
          </w:p>
        </w:tc>
      </w:tr>
      <w:tr w:rsidR="0056537C" w:rsidRPr="00EF1F01" w14:paraId="0C045A25" w14:textId="77777777" w:rsidTr="4F6DD0A6">
        <w:trPr>
          <w:trHeight w:val="412"/>
          <w:jc w:val="center"/>
        </w:trPr>
        <w:tc>
          <w:tcPr>
            <w:tcW w:w="2997" w:type="dxa"/>
            <w:shd w:val="clear" w:color="auto" w:fill="auto"/>
          </w:tcPr>
          <w:p w14:paraId="51377942" w14:textId="0CF45CBF" w:rsidR="0056537C" w:rsidRPr="00D70120" w:rsidRDefault="00CA7E3B" w:rsidP="00A16948">
            <w:pPr>
              <w:spacing w:before="120" w:after="120" w:line="260" w:lineRule="exact"/>
              <w:jc w:val="both"/>
              <w:rPr>
                <w:rFonts w:ascii="Corbel" w:hAnsi="Corbel" w:cstheme="minorHAnsi"/>
                <w:sz w:val="20"/>
                <w:szCs w:val="20"/>
                <w:lang w:val="en-GB"/>
              </w:rPr>
            </w:pPr>
            <w:r w:rsidRPr="00EF1F01">
              <w:rPr>
                <w:rFonts w:ascii="Corbel" w:hAnsi="Corbel" w:cstheme="minorHAnsi"/>
                <w:sz w:val="20"/>
                <w:szCs w:val="20"/>
                <w:u w:val="single"/>
                <w:lang w:val="en-GB"/>
              </w:rPr>
              <w:t>Indicator 2.1</w:t>
            </w:r>
            <w:r w:rsidRPr="00EF1F01">
              <w:rPr>
                <w:rFonts w:ascii="Corbel" w:hAnsi="Corbel" w:cstheme="minorHAnsi"/>
                <w:sz w:val="20"/>
                <w:szCs w:val="20"/>
                <w:lang w:val="en-GB"/>
              </w:rPr>
              <w:t>: LAS management has access to effective analytical and policy tools</w:t>
            </w:r>
            <w:r w:rsidR="00E773A8" w:rsidRPr="00EF1F01">
              <w:rPr>
                <w:rFonts w:ascii="Corbel" w:hAnsi="Corbel" w:cstheme="minorHAnsi"/>
                <w:sz w:val="20"/>
                <w:szCs w:val="20"/>
                <w:lang w:val="en-GB"/>
              </w:rPr>
              <w:t>.</w:t>
            </w:r>
          </w:p>
        </w:tc>
        <w:tc>
          <w:tcPr>
            <w:tcW w:w="3089" w:type="dxa"/>
            <w:shd w:val="clear" w:color="auto" w:fill="auto"/>
          </w:tcPr>
          <w:p w14:paraId="328635E5" w14:textId="231EDE8D" w:rsidR="007F5F6F" w:rsidRPr="00EF1F01" w:rsidRDefault="007F5F6F" w:rsidP="00A16948">
            <w:pPr>
              <w:spacing w:before="120" w:after="120" w:line="260" w:lineRule="exact"/>
              <w:jc w:val="both"/>
              <w:rPr>
                <w:rFonts w:ascii="Corbel" w:hAnsi="Corbel" w:cstheme="minorHAnsi"/>
                <w:sz w:val="20"/>
                <w:szCs w:val="20"/>
                <w:lang w:val="en-GB"/>
              </w:rPr>
            </w:pPr>
            <w:r w:rsidRPr="00EF1F01">
              <w:rPr>
                <w:rFonts w:ascii="Corbel" w:hAnsi="Corbel" w:cstheme="minorHAnsi"/>
                <w:sz w:val="20"/>
                <w:szCs w:val="20"/>
                <w:u w:val="single"/>
                <w:lang w:val="en-GB"/>
              </w:rPr>
              <w:t>Baseline</w:t>
            </w:r>
            <w:r w:rsidR="004B47F9" w:rsidRPr="00EF1F01">
              <w:rPr>
                <w:rFonts w:ascii="Corbel" w:hAnsi="Corbel" w:cstheme="minorHAnsi"/>
                <w:sz w:val="20"/>
                <w:szCs w:val="20"/>
                <w:u w:val="single"/>
                <w:lang w:val="en-GB"/>
              </w:rPr>
              <w:t xml:space="preserve"> </w:t>
            </w:r>
            <w:r w:rsidRPr="00EF1F01">
              <w:rPr>
                <w:rFonts w:ascii="Corbel" w:hAnsi="Corbel" w:cstheme="minorHAnsi"/>
                <w:sz w:val="20"/>
                <w:szCs w:val="20"/>
                <w:u w:val="single"/>
                <w:lang w:val="en-GB"/>
              </w:rPr>
              <w:t>2.1</w:t>
            </w:r>
            <w:r w:rsidRPr="00EF1F01">
              <w:rPr>
                <w:rFonts w:ascii="Corbel" w:hAnsi="Corbel" w:cstheme="minorHAnsi"/>
                <w:sz w:val="20"/>
                <w:szCs w:val="20"/>
                <w:lang w:val="en-GB"/>
              </w:rPr>
              <w:t>: Lack of instruments for technical and policy analysis in the Economic Sector</w:t>
            </w:r>
            <w:r w:rsidR="00E773A8" w:rsidRPr="00EF1F01">
              <w:rPr>
                <w:rFonts w:ascii="Corbel" w:hAnsi="Corbel" w:cstheme="minorHAnsi"/>
                <w:sz w:val="20"/>
                <w:szCs w:val="20"/>
                <w:lang w:val="en-GB"/>
              </w:rPr>
              <w:t>.</w:t>
            </w:r>
          </w:p>
          <w:p w14:paraId="61CC6B05" w14:textId="04C52F63" w:rsidR="0056537C" w:rsidRPr="00D70120" w:rsidRDefault="00480C35" w:rsidP="00D70120">
            <w:pPr>
              <w:rPr>
                <w:rFonts w:ascii="Corbel" w:hAnsi="Corbel" w:cstheme="minorHAnsi"/>
                <w:sz w:val="20"/>
                <w:szCs w:val="20"/>
              </w:rPr>
            </w:pPr>
            <w:r w:rsidRPr="00EF1F01">
              <w:rPr>
                <w:rFonts w:ascii="Corbel" w:hAnsi="Corbel" w:cstheme="minorHAnsi"/>
                <w:sz w:val="20"/>
                <w:szCs w:val="20"/>
                <w:u w:val="single"/>
                <w:lang w:val="en-GB"/>
              </w:rPr>
              <w:t>Target 2.1</w:t>
            </w:r>
            <w:r w:rsidRPr="00EF1F01">
              <w:rPr>
                <w:rFonts w:ascii="Corbel" w:hAnsi="Corbel" w:cstheme="minorHAnsi"/>
                <w:sz w:val="20"/>
                <w:szCs w:val="20"/>
                <w:lang w:val="en-GB"/>
              </w:rPr>
              <w:t>:</w:t>
            </w:r>
            <w:r w:rsidR="00035A1C" w:rsidRPr="00EF1F01">
              <w:rPr>
                <w:rFonts w:ascii="Corbel" w:hAnsi="Corbel" w:cstheme="minorHAnsi"/>
                <w:sz w:val="20"/>
                <w:szCs w:val="20"/>
                <w:lang w:val="en-GB"/>
              </w:rPr>
              <w:t xml:space="preserve"> </w:t>
            </w:r>
            <w:r w:rsidR="00035A1C" w:rsidRPr="00EF1F01">
              <w:rPr>
                <w:rFonts w:ascii="Corbel" w:hAnsi="Corbel" w:cstheme="minorHAnsi"/>
                <w:sz w:val="20"/>
                <w:szCs w:val="20"/>
              </w:rPr>
              <w:t>At least two policy notes developed for the LAS senior management on policies for PAFTA upgrading towards ACU</w:t>
            </w:r>
            <w:r w:rsidR="00653F48" w:rsidRPr="00EF1F01">
              <w:rPr>
                <w:rFonts w:ascii="Corbel" w:hAnsi="Corbel" w:cstheme="minorHAnsi"/>
                <w:sz w:val="20"/>
                <w:szCs w:val="20"/>
              </w:rPr>
              <w:t>.</w:t>
            </w:r>
          </w:p>
        </w:tc>
        <w:tc>
          <w:tcPr>
            <w:tcW w:w="3969" w:type="dxa"/>
            <w:shd w:val="clear" w:color="auto" w:fill="auto"/>
          </w:tcPr>
          <w:p w14:paraId="6122A4A7" w14:textId="7BAE90A7" w:rsidR="00C647FB" w:rsidRPr="00136F1F" w:rsidRDefault="002F2C89" w:rsidP="000168EC">
            <w:pPr>
              <w:pStyle w:val="ListParagraph"/>
              <w:widowControl w:val="0"/>
              <w:numPr>
                <w:ilvl w:val="1"/>
                <w:numId w:val="13"/>
              </w:numPr>
              <w:tabs>
                <w:tab w:val="left" w:pos="648"/>
              </w:tabs>
              <w:spacing w:before="120" w:after="120" w:line="260" w:lineRule="exact"/>
              <w:ind w:left="0" w:firstLine="0"/>
              <w:jc w:val="both"/>
              <w:outlineLvl w:val="0"/>
              <w:rPr>
                <w:rFonts w:ascii="Corbel" w:hAnsi="Corbel" w:cs="Arial"/>
                <w:sz w:val="20"/>
                <w:szCs w:val="20"/>
                <w:lang w:val="en-GB" w:eastAsia="en-US"/>
              </w:rPr>
            </w:pPr>
            <w:bookmarkStart w:id="137" w:name="_Toc103506673"/>
            <w:r w:rsidRPr="00136F1F">
              <w:rPr>
                <w:rFonts w:ascii="Corbel" w:hAnsi="Corbel" w:cs="Arial"/>
                <w:sz w:val="20"/>
                <w:szCs w:val="20"/>
                <w:lang w:val="en-US" w:eastAsia="en-US"/>
              </w:rPr>
              <w:t xml:space="preserve">Four </w:t>
            </w:r>
            <w:r w:rsidR="579BD438" w:rsidRPr="00136F1F">
              <w:rPr>
                <w:rFonts w:ascii="Corbel" w:hAnsi="Corbel" w:cs="Arial"/>
                <w:sz w:val="20"/>
                <w:szCs w:val="20"/>
                <w:lang w:val="en-US" w:eastAsia="en-US"/>
              </w:rPr>
              <w:t>T</w:t>
            </w:r>
            <w:proofErr w:type="spellStart"/>
            <w:r w:rsidR="6A9C0B18" w:rsidRPr="00136F1F">
              <w:rPr>
                <w:rFonts w:ascii="Corbel" w:hAnsi="Corbel" w:cs="Arial"/>
                <w:sz w:val="20"/>
                <w:szCs w:val="20"/>
                <w:lang w:val="en-GB" w:eastAsia="en-US"/>
              </w:rPr>
              <w:t>echnical</w:t>
            </w:r>
            <w:proofErr w:type="spellEnd"/>
            <w:r w:rsidR="6A9C0B18" w:rsidRPr="00136F1F">
              <w:rPr>
                <w:rFonts w:ascii="Corbel" w:hAnsi="Corbel" w:cs="Arial"/>
                <w:sz w:val="20"/>
                <w:szCs w:val="20"/>
                <w:lang w:val="en-GB" w:eastAsia="en-US"/>
              </w:rPr>
              <w:t xml:space="preserve"> and policy briefings to guide the work of LAS senior management in the Economic Sector</w:t>
            </w:r>
            <w:r w:rsidR="644C6BDE" w:rsidRPr="00136F1F">
              <w:rPr>
                <w:rFonts w:ascii="Corbel" w:hAnsi="Corbel" w:cs="Arial"/>
                <w:sz w:val="20"/>
                <w:szCs w:val="20"/>
                <w:lang w:val="en-GB" w:eastAsia="en-US"/>
              </w:rPr>
              <w:t xml:space="preserve"> were delivered on the following topics</w:t>
            </w:r>
            <w:bookmarkEnd w:id="137"/>
          </w:p>
          <w:p w14:paraId="30205EEB" w14:textId="1D757B1C" w:rsidR="008F1225" w:rsidRPr="00136F1F" w:rsidRDefault="008F1225" w:rsidP="000168EC">
            <w:pPr>
              <w:pStyle w:val="ListParagraph"/>
              <w:widowControl w:val="0"/>
              <w:numPr>
                <w:ilvl w:val="2"/>
                <w:numId w:val="22"/>
              </w:numPr>
              <w:tabs>
                <w:tab w:val="left" w:pos="648"/>
              </w:tabs>
              <w:spacing w:before="120" w:after="120" w:line="260" w:lineRule="exact"/>
              <w:ind w:left="664" w:hanging="304"/>
              <w:jc w:val="both"/>
              <w:outlineLvl w:val="0"/>
              <w:rPr>
                <w:rFonts w:ascii="Corbel" w:hAnsi="Corbel" w:cs="Arial"/>
                <w:sz w:val="20"/>
                <w:szCs w:val="20"/>
                <w:lang w:val="en-GB" w:eastAsia="en-US"/>
              </w:rPr>
            </w:pPr>
            <w:bookmarkStart w:id="138" w:name="_Toc103506674"/>
            <w:r w:rsidRPr="00136F1F">
              <w:rPr>
                <w:rFonts w:ascii="Corbel" w:hAnsi="Corbel" w:cs="Arial"/>
                <w:sz w:val="20"/>
                <w:szCs w:val="20"/>
                <w:lang w:val="en-GB" w:eastAsia="en-US"/>
              </w:rPr>
              <w:t>t</w:t>
            </w:r>
            <w:r w:rsidR="003065F6" w:rsidRPr="00136F1F">
              <w:rPr>
                <w:rFonts w:ascii="Corbel" w:hAnsi="Corbel" w:cs="Arial"/>
                <w:sz w:val="20"/>
                <w:szCs w:val="20"/>
                <w:lang w:val="en-GB" w:eastAsia="en-US"/>
              </w:rPr>
              <w:t>he A</w:t>
            </w:r>
            <w:r w:rsidRPr="00136F1F">
              <w:rPr>
                <w:rFonts w:ascii="Corbel" w:hAnsi="Corbel" w:cs="Arial"/>
                <w:sz w:val="20"/>
                <w:szCs w:val="20"/>
                <w:lang w:val="en-GB" w:eastAsia="en-US"/>
              </w:rPr>
              <w:t>rab Custom Union</w:t>
            </w:r>
            <w:bookmarkEnd w:id="138"/>
          </w:p>
          <w:p w14:paraId="4832C9DA" w14:textId="77777777" w:rsidR="003A1151" w:rsidRPr="00136F1F" w:rsidRDefault="00C41582" w:rsidP="000168EC">
            <w:pPr>
              <w:pStyle w:val="ListParagraph"/>
              <w:widowControl w:val="0"/>
              <w:numPr>
                <w:ilvl w:val="2"/>
                <w:numId w:val="22"/>
              </w:numPr>
              <w:tabs>
                <w:tab w:val="left" w:pos="648"/>
              </w:tabs>
              <w:spacing w:before="120" w:after="120" w:line="260" w:lineRule="exact"/>
              <w:ind w:left="664" w:hanging="304"/>
              <w:jc w:val="both"/>
              <w:outlineLvl w:val="0"/>
              <w:rPr>
                <w:rFonts w:ascii="Corbel" w:hAnsi="Corbel" w:cs="Arial"/>
                <w:sz w:val="20"/>
                <w:szCs w:val="20"/>
                <w:lang w:val="en-GB" w:eastAsia="en-US"/>
              </w:rPr>
            </w:pPr>
            <w:r w:rsidRPr="00136F1F">
              <w:rPr>
                <w:rFonts w:ascii="Corbel" w:hAnsi="Corbel" w:cs="Arial"/>
                <w:sz w:val="20"/>
                <w:szCs w:val="20"/>
                <w:lang w:val="en-GB" w:eastAsia="en-US"/>
              </w:rPr>
              <w:t xml:space="preserve"> </w:t>
            </w:r>
            <w:bookmarkStart w:id="139" w:name="_Toc103506675"/>
            <w:r w:rsidRPr="00136F1F">
              <w:rPr>
                <w:rFonts w:ascii="Corbel" w:hAnsi="Corbel" w:cs="Arial"/>
                <w:sz w:val="20"/>
                <w:szCs w:val="20"/>
                <w:lang w:val="en-GB" w:eastAsia="en-US"/>
              </w:rPr>
              <w:t>trade in services</w:t>
            </w:r>
            <w:bookmarkEnd w:id="139"/>
          </w:p>
          <w:p w14:paraId="60C87661" w14:textId="77777777" w:rsidR="003A1151" w:rsidRPr="00136F1F" w:rsidRDefault="00C41582" w:rsidP="000168EC">
            <w:pPr>
              <w:pStyle w:val="ListParagraph"/>
              <w:widowControl w:val="0"/>
              <w:numPr>
                <w:ilvl w:val="2"/>
                <w:numId w:val="22"/>
              </w:numPr>
              <w:tabs>
                <w:tab w:val="left" w:pos="648"/>
              </w:tabs>
              <w:spacing w:before="120" w:after="120" w:line="260" w:lineRule="exact"/>
              <w:ind w:left="664" w:hanging="304"/>
              <w:jc w:val="both"/>
              <w:outlineLvl w:val="0"/>
              <w:rPr>
                <w:rFonts w:ascii="Corbel" w:hAnsi="Corbel" w:cs="Arial"/>
                <w:sz w:val="20"/>
                <w:szCs w:val="20"/>
                <w:lang w:val="en-GB" w:eastAsia="en-US"/>
              </w:rPr>
            </w:pPr>
            <w:bookmarkStart w:id="140" w:name="_Toc103506676"/>
            <w:r w:rsidRPr="00136F1F">
              <w:rPr>
                <w:rFonts w:ascii="Corbel" w:hAnsi="Corbel" w:cs="Arial"/>
                <w:sz w:val="20"/>
                <w:szCs w:val="20"/>
                <w:lang w:val="en-GB" w:eastAsia="en-US"/>
              </w:rPr>
              <w:t>trade facilitation</w:t>
            </w:r>
            <w:bookmarkEnd w:id="140"/>
          </w:p>
          <w:p w14:paraId="24487D87" w14:textId="2DD8D493" w:rsidR="007E4B1B" w:rsidRPr="00AC29F7" w:rsidRDefault="00AC29F7" w:rsidP="000168EC">
            <w:pPr>
              <w:pStyle w:val="ListParagraph"/>
              <w:widowControl w:val="0"/>
              <w:numPr>
                <w:ilvl w:val="2"/>
                <w:numId w:val="22"/>
              </w:numPr>
              <w:tabs>
                <w:tab w:val="left" w:pos="648"/>
              </w:tabs>
              <w:spacing w:before="120" w:after="120" w:line="260" w:lineRule="exact"/>
              <w:ind w:left="664" w:hanging="304"/>
              <w:jc w:val="both"/>
              <w:outlineLvl w:val="0"/>
              <w:rPr>
                <w:rFonts w:ascii="Corbel" w:hAnsi="Corbel" w:cs="Arial"/>
                <w:sz w:val="21"/>
                <w:szCs w:val="21"/>
                <w:lang w:val="en-GB" w:eastAsia="en-US"/>
              </w:rPr>
            </w:pPr>
            <w:bookmarkStart w:id="141" w:name="_Toc103506677"/>
            <w:r w:rsidRPr="00136F1F">
              <w:rPr>
                <w:rFonts w:ascii="Corbel" w:hAnsi="Corbel" w:cs="Arial"/>
                <w:sz w:val="20"/>
                <w:szCs w:val="20"/>
                <w:lang w:val="en-GB" w:eastAsia="en-US"/>
              </w:rPr>
              <w:t>u</w:t>
            </w:r>
            <w:r w:rsidR="00974F7F" w:rsidRPr="00136F1F">
              <w:rPr>
                <w:rFonts w:ascii="Corbel" w:hAnsi="Corbel" w:cs="Arial"/>
                <w:sz w:val="20"/>
                <w:szCs w:val="20"/>
                <w:lang w:val="en-GB" w:eastAsia="en-US"/>
              </w:rPr>
              <w:t xml:space="preserve">pgraded </w:t>
            </w:r>
            <w:r w:rsidR="003A1151" w:rsidRPr="00136F1F">
              <w:rPr>
                <w:rFonts w:ascii="Corbel" w:hAnsi="Corbel" w:cs="Arial"/>
                <w:sz w:val="20"/>
                <w:szCs w:val="20"/>
                <w:lang w:val="en-GB" w:eastAsia="en-US"/>
              </w:rPr>
              <w:t xml:space="preserve">PAFTA </w:t>
            </w:r>
            <w:r w:rsidR="00974F7F" w:rsidRPr="00136F1F">
              <w:rPr>
                <w:rFonts w:ascii="Corbel" w:hAnsi="Corbel" w:cs="Arial"/>
                <w:sz w:val="20"/>
                <w:szCs w:val="20"/>
                <w:lang w:val="en-GB" w:eastAsia="en-US"/>
              </w:rPr>
              <w:t>governance model</w:t>
            </w:r>
            <w:r w:rsidR="009B2102" w:rsidRPr="00136F1F">
              <w:rPr>
                <w:rFonts w:ascii="Corbel" w:hAnsi="Corbel" w:cs="Arial"/>
                <w:sz w:val="20"/>
                <w:szCs w:val="20"/>
                <w:lang w:val="en-GB" w:eastAsia="en-US"/>
              </w:rPr>
              <w:t xml:space="preserve">, including new approaches to policy consultations </w:t>
            </w:r>
            <w:r w:rsidR="00A4290B" w:rsidRPr="00136F1F">
              <w:rPr>
                <w:rFonts w:ascii="Corbel" w:hAnsi="Corbel" w:cs="Arial"/>
                <w:sz w:val="20"/>
                <w:szCs w:val="20"/>
                <w:lang w:val="en-GB" w:eastAsia="en-US"/>
              </w:rPr>
              <w:t>to smoothen trade negotiations</w:t>
            </w:r>
            <w:r w:rsidR="00A4290B" w:rsidRPr="009B2102">
              <w:rPr>
                <w:rFonts w:ascii="Corbel" w:hAnsi="Corbel" w:cs="Arial"/>
                <w:sz w:val="21"/>
                <w:szCs w:val="21"/>
                <w:lang w:val="en-GB" w:eastAsia="en-US"/>
              </w:rPr>
              <w:t>.</w:t>
            </w:r>
            <w:bookmarkEnd w:id="141"/>
          </w:p>
        </w:tc>
      </w:tr>
      <w:tr w:rsidR="00CA7E3B" w:rsidRPr="00EF1F01" w14:paraId="2DEDF8B8" w14:textId="77777777" w:rsidTr="4F6DD0A6">
        <w:trPr>
          <w:trHeight w:val="412"/>
          <w:jc w:val="center"/>
        </w:trPr>
        <w:tc>
          <w:tcPr>
            <w:tcW w:w="2997" w:type="dxa"/>
            <w:shd w:val="clear" w:color="auto" w:fill="auto"/>
          </w:tcPr>
          <w:p w14:paraId="40218702" w14:textId="7AF217DC" w:rsidR="00CA7E3B" w:rsidRPr="00EF1F01" w:rsidRDefault="00CA7E3B" w:rsidP="00A16948">
            <w:pPr>
              <w:spacing w:before="120" w:after="120" w:line="260" w:lineRule="exact"/>
              <w:jc w:val="both"/>
              <w:rPr>
                <w:rFonts w:ascii="Corbel" w:hAnsi="Corbel" w:cstheme="minorHAnsi"/>
                <w:sz w:val="20"/>
                <w:szCs w:val="20"/>
                <w:lang w:val="en-GB"/>
              </w:rPr>
            </w:pPr>
            <w:r w:rsidRPr="00EF1F01">
              <w:rPr>
                <w:rFonts w:ascii="Corbel" w:hAnsi="Corbel" w:cstheme="minorHAnsi"/>
                <w:sz w:val="20"/>
                <w:szCs w:val="20"/>
                <w:u w:val="single"/>
                <w:lang w:val="en-GB"/>
              </w:rPr>
              <w:t>Indicator 2.2</w:t>
            </w:r>
            <w:r w:rsidRPr="00EF1F01">
              <w:rPr>
                <w:rFonts w:ascii="Corbel" w:hAnsi="Corbel" w:cstheme="minorHAnsi"/>
                <w:sz w:val="20"/>
                <w:szCs w:val="20"/>
                <w:lang w:val="en-GB"/>
              </w:rPr>
              <w:t>: level of increase in the knowledge and skills of Member States technical staff</w:t>
            </w:r>
            <w:r w:rsidR="00E773A8" w:rsidRPr="00EF1F01">
              <w:rPr>
                <w:rFonts w:ascii="Corbel" w:hAnsi="Corbel" w:cstheme="minorHAnsi"/>
                <w:sz w:val="20"/>
                <w:szCs w:val="20"/>
                <w:lang w:val="en-GB"/>
              </w:rPr>
              <w:t>.</w:t>
            </w:r>
          </w:p>
          <w:p w14:paraId="7ACAA784" w14:textId="77777777" w:rsidR="00CA7E3B" w:rsidRPr="00EF1F01" w:rsidRDefault="00CA7E3B" w:rsidP="00A16948">
            <w:pPr>
              <w:spacing w:before="120" w:after="120" w:line="260" w:lineRule="exact"/>
              <w:jc w:val="both"/>
              <w:rPr>
                <w:rFonts w:ascii="Corbel" w:hAnsi="Corbel" w:cstheme="minorHAnsi"/>
                <w:sz w:val="20"/>
                <w:szCs w:val="20"/>
                <w:u w:val="single"/>
                <w:lang w:val="en-GB"/>
              </w:rPr>
            </w:pPr>
          </w:p>
        </w:tc>
        <w:tc>
          <w:tcPr>
            <w:tcW w:w="3089" w:type="dxa"/>
            <w:shd w:val="clear" w:color="auto" w:fill="auto"/>
          </w:tcPr>
          <w:p w14:paraId="52061A67" w14:textId="724C7A05" w:rsidR="007F5F6F" w:rsidRPr="00EF1F01" w:rsidRDefault="007F5F6F" w:rsidP="00A16948">
            <w:pPr>
              <w:spacing w:before="120" w:after="120" w:line="260" w:lineRule="exact"/>
              <w:jc w:val="both"/>
              <w:rPr>
                <w:rFonts w:ascii="Corbel" w:hAnsi="Corbel" w:cstheme="minorHAnsi"/>
                <w:sz w:val="20"/>
                <w:szCs w:val="20"/>
                <w:lang w:val="en-GB"/>
              </w:rPr>
            </w:pPr>
            <w:r w:rsidRPr="00EF1F01">
              <w:rPr>
                <w:rFonts w:ascii="Corbel" w:hAnsi="Corbel" w:cstheme="minorHAnsi"/>
                <w:sz w:val="20"/>
                <w:szCs w:val="20"/>
                <w:u w:val="single"/>
                <w:lang w:val="en-GB"/>
              </w:rPr>
              <w:t>Baseline 2.2</w:t>
            </w:r>
            <w:r w:rsidRPr="00EF1F01">
              <w:rPr>
                <w:rFonts w:ascii="Corbel" w:hAnsi="Corbel" w:cstheme="minorHAnsi"/>
                <w:sz w:val="20"/>
                <w:szCs w:val="20"/>
                <w:lang w:val="en-GB"/>
              </w:rPr>
              <w:t>: Inadequate knowledge and skills among Member States officials on the PAFTA upgrading and ACU preparations</w:t>
            </w:r>
            <w:r w:rsidR="00E773A8" w:rsidRPr="00EF1F01">
              <w:rPr>
                <w:rFonts w:ascii="Corbel" w:hAnsi="Corbel" w:cstheme="minorHAnsi"/>
                <w:sz w:val="20"/>
                <w:szCs w:val="20"/>
                <w:lang w:val="en-GB"/>
              </w:rPr>
              <w:t>.</w:t>
            </w:r>
          </w:p>
          <w:p w14:paraId="4B897D0C" w14:textId="348A517A" w:rsidR="007F5F6F" w:rsidRPr="00EF1F01" w:rsidRDefault="00480C35" w:rsidP="00A16948">
            <w:pPr>
              <w:spacing w:before="120" w:after="120" w:line="260" w:lineRule="exact"/>
              <w:jc w:val="both"/>
              <w:rPr>
                <w:rFonts w:ascii="Corbel" w:hAnsi="Corbel" w:cstheme="minorHAnsi"/>
                <w:sz w:val="20"/>
                <w:szCs w:val="20"/>
                <w:lang w:val="en-GB"/>
              </w:rPr>
            </w:pPr>
            <w:r w:rsidRPr="00EF1F01">
              <w:rPr>
                <w:rFonts w:ascii="Corbel" w:hAnsi="Corbel" w:cstheme="minorHAnsi"/>
                <w:sz w:val="20"/>
                <w:szCs w:val="20"/>
                <w:u w:val="single"/>
                <w:lang w:val="en-GB"/>
              </w:rPr>
              <w:t>Target 2.2</w:t>
            </w:r>
            <w:r w:rsidRPr="00EF1F01">
              <w:rPr>
                <w:rFonts w:ascii="Corbel" w:hAnsi="Corbel" w:cstheme="minorHAnsi"/>
                <w:sz w:val="20"/>
                <w:szCs w:val="20"/>
                <w:lang w:val="en-GB"/>
              </w:rPr>
              <w:t>:  80 officials from at least 4 Member States and LAS trained in the use of these tools</w:t>
            </w:r>
            <w:r w:rsidR="00E773A8" w:rsidRPr="00EF1F01">
              <w:rPr>
                <w:rFonts w:ascii="Corbel" w:hAnsi="Corbel" w:cstheme="minorHAnsi"/>
                <w:sz w:val="20"/>
                <w:szCs w:val="20"/>
                <w:lang w:val="en-GB"/>
              </w:rPr>
              <w:t>.</w:t>
            </w:r>
          </w:p>
        </w:tc>
        <w:tc>
          <w:tcPr>
            <w:tcW w:w="3969" w:type="dxa"/>
            <w:shd w:val="clear" w:color="auto" w:fill="auto"/>
          </w:tcPr>
          <w:p w14:paraId="4D96C5F2" w14:textId="184A3911" w:rsidR="008F2D11" w:rsidRDefault="1F1004DC">
            <w:pPr>
              <w:widowControl w:val="0"/>
              <w:spacing w:before="120" w:after="120" w:line="260" w:lineRule="exact"/>
              <w:jc w:val="both"/>
              <w:outlineLvl w:val="0"/>
              <w:rPr>
                <w:rFonts w:ascii="Corbel" w:eastAsia="Times New Roman" w:hAnsi="Corbel" w:cs="Arial"/>
                <w:sz w:val="20"/>
                <w:szCs w:val="20"/>
                <w:lang w:val="en-GB" w:eastAsia="en-US"/>
              </w:rPr>
            </w:pPr>
            <w:bookmarkStart w:id="142" w:name="_Toc103506678"/>
            <w:r w:rsidRPr="4F6DD0A6">
              <w:rPr>
                <w:rFonts w:ascii="Corbel" w:eastAsia="Times New Roman" w:hAnsi="Corbel" w:cs="Arial"/>
                <w:sz w:val="20"/>
                <w:szCs w:val="20"/>
                <w:lang w:val="en-GB" w:eastAsia="en-US"/>
              </w:rPr>
              <w:t xml:space="preserve">2.2. </w:t>
            </w:r>
            <w:r w:rsidR="49E2E635" w:rsidRPr="4F6DD0A6">
              <w:rPr>
                <w:rFonts w:ascii="Corbel" w:eastAsia="Times New Roman" w:hAnsi="Corbel" w:cs="Arial"/>
                <w:sz w:val="20"/>
                <w:szCs w:val="20"/>
                <w:lang w:val="en-GB" w:eastAsia="en-US"/>
              </w:rPr>
              <w:t>Over the project duration, m</w:t>
            </w:r>
            <w:r w:rsidR="6A9C0B18" w:rsidRPr="4F6DD0A6">
              <w:rPr>
                <w:rFonts w:ascii="Corbel" w:eastAsia="Times New Roman" w:hAnsi="Corbel" w:cs="Arial"/>
                <w:sz w:val="20"/>
                <w:szCs w:val="20"/>
                <w:lang w:val="en-GB" w:eastAsia="en-US"/>
              </w:rPr>
              <w:t xml:space="preserve">ore than </w:t>
            </w:r>
            <w:r w:rsidR="66A091DE" w:rsidRPr="4F6DD0A6">
              <w:rPr>
                <w:rFonts w:ascii="Corbel" w:eastAsia="Times New Roman" w:hAnsi="Corbel" w:cs="Arial"/>
                <w:sz w:val="20"/>
                <w:szCs w:val="20"/>
                <w:lang w:val="en-GB" w:eastAsia="en-US"/>
              </w:rPr>
              <w:t>6</w:t>
            </w:r>
            <w:r w:rsidR="6A9C0B18" w:rsidRPr="4F6DD0A6">
              <w:rPr>
                <w:rFonts w:ascii="Corbel" w:eastAsia="Times New Roman" w:hAnsi="Corbel" w:cs="Arial"/>
                <w:sz w:val="20"/>
                <w:szCs w:val="20"/>
                <w:lang w:val="en-GB" w:eastAsia="en-US"/>
              </w:rPr>
              <w:t xml:space="preserve">00 </w:t>
            </w:r>
            <w:r w:rsidR="25CFDFA3" w:rsidRPr="4F6DD0A6">
              <w:rPr>
                <w:rFonts w:ascii="Corbel" w:eastAsia="Times New Roman" w:hAnsi="Corbel" w:cs="Arial"/>
                <w:sz w:val="20"/>
                <w:szCs w:val="20"/>
                <w:lang w:val="en-GB" w:eastAsia="en-US"/>
              </w:rPr>
              <w:t>policy makers</w:t>
            </w:r>
            <w:r w:rsidR="3459CA77" w:rsidRPr="4F6DD0A6">
              <w:rPr>
                <w:rFonts w:ascii="Corbel" w:eastAsia="Times New Roman" w:hAnsi="Corbel" w:cs="Arial"/>
                <w:sz w:val="20"/>
                <w:szCs w:val="20"/>
                <w:lang w:val="en-GB" w:eastAsia="en-US"/>
              </w:rPr>
              <w:t xml:space="preserve"> from 17 </w:t>
            </w:r>
            <w:r w:rsidR="6A9C0B18" w:rsidRPr="4F6DD0A6">
              <w:rPr>
                <w:rFonts w:ascii="Corbel" w:eastAsia="Times New Roman" w:hAnsi="Corbel" w:cs="Arial"/>
                <w:sz w:val="20"/>
                <w:szCs w:val="20"/>
                <w:lang w:val="en-GB" w:eastAsia="en-US"/>
              </w:rPr>
              <w:t xml:space="preserve">Arab </w:t>
            </w:r>
            <w:r w:rsidR="3459CA77" w:rsidRPr="4F6DD0A6">
              <w:rPr>
                <w:rFonts w:ascii="Corbel" w:eastAsia="Times New Roman" w:hAnsi="Corbel" w:cs="Arial"/>
                <w:sz w:val="20"/>
                <w:szCs w:val="20"/>
                <w:lang w:val="en-GB" w:eastAsia="en-US"/>
              </w:rPr>
              <w:t>countries</w:t>
            </w:r>
            <w:r w:rsidR="25CFDFA3" w:rsidRPr="4F6DD0A6">
              <w:rPr>
                <w:rFonts w:ascii="Corbel" w:eastAsia="Times New Roman" w:hAnsi="Corbel" w:cs="Arial"/>
                <w:sz w:val="20"/>
                <w:szCs w:val="20"/>
                <w:lang w:val="en-GB" w:eastAsia="en-US"/>
              </w:rPr>
              <w:t xml:space="preserve"> </w:t>
            </w:r>
            <w:r w:rsidR="682EC962" w:rsidRPr="4F6DD0A6">
              <w:rPr>
                <w:rFonts w:ascii="Corbel" w:eastAsia="Times New Roman" w:hAnsi="Corbel" w:cs="Arial"/>
                <w:sz w:val="20"/>
                <w:szCs w:val="20"/>
                <w:lang w:val="en-GB" w:eastAsia="en-US"/>
              </w:rPr>
              <w:t xml:space="preserve">received transfers of </w:t>
            </w:r>
            <w:r w:rsidR="006A435B" w:rsidRPr="4F6DD0A6">
              <w:rPr>
                <w:rFonts w:ascii="Corbel" w:eastAsia="Times New Roman" w:hAnsi="Corbel" w:cs="Arial"/>
                <w:sz w:val="20"/>
                <w:szCs w:val="20"/>
                <w:lang w:val="en-GB" w:eastAsia="en-US"/>
              </w:rPr>
              <w:t>knowledge</w:t>
            </w:r>
            <w:r w:rsidR="682EC962" w:rsidRPr="4F6DD0A6">
              <w:rPr>
                <w:rFonts w:ascii="Corbel" w:eastAsia="Times New Roman" w:hAnsi="Corbel" w:cs="Arial"/>
                <w:sz w:val="20"/>
                <w:szCs w:val="20"/>
                <w:lang w:val="en-GB" w:eastAsia="en-US"/>
              </w:rPr>
              <w:t xml:space="preserve"> </w:t>
            </w:r>
            <w:r w:rsidR="4F4EB629" w:rsidRPr="4F6DD0A6">
              <w:rPr>
                <w:rFonts w:ascii="Corbel" w:eastAsia="Times New Roman" w:hAnsi="Corbel" w:cs="Arial"/>
                <w:sz w:val="20"/>
                <w:szCs w:val="20"/>
                <w:lang w:val="en-GB" w:eastAsia="en-US"/>
              </w:rPr>
              <w:t>and know-how on</w:t>
            </w:r>
            <w:bookmarkEnd w:id="142"/>
            <w:r w:rsidR="4F4EB629" w:rsidRPr="4F6DD0A6">
              <w:rPr>
                <w:rFonts w:ascii="Corbel" w:eastAsia="Times New Roman" w:hAnsi="Corbel" w:cs="Arial"/>
                <w:sz w:val="20"/>
                <w:szCs w:val="20"/>
                <w:lang w:val="en-GB" w:eastAsia="en-US"/>
              </w:rPr>
              <w:t xml:space="preserve"> </w:t>
            </w:r>
          </w:p>
          <w:p w14:paraId="467E9ECA" w14:textId="77777777" w:rsidR="008F2D11" w:rsidRDefault="008F2D11" w:rsidP="000168EC">
            <w:pPr>
              <w:pStyle w:val="ListParagraph"/>
              <w:widowControl w:val="0"/>
              <w:numPr>
                <w:ilvl w:val="0"/>
                <w:numId w:val="23"/>
              </w:numPr>
              <w:spacing w:before="120" w:after="120" w:line="260" w:lineRule="exact"/>
              <w:ind w:left="664"/>
              <w:jc w:val="both"/>
              <w:outlineLvl w:val="0"/>
              <w:rPr>
                <w:rFonts w:ascii="Corbel" w:hAnsi="Corbel" w:cs="Arial"/>
                <w:sz w:val="20"/>
                <w:szCs w:val="20"/>
                <w:lang w:val="en-GB" w:eastAsia="en-US"/>
              </w:rPr>
            </w:pPr>
            <w:bookmarkStart w:id="143" w:name="_Toc103506679"/>
            <w:r w:rsidRPr="008F2D11">
              <w:rPr>
                <w:rFonts w:ascii="Corbel" w:hAnsi="Corbel" w:cs="Arial"/>
                <w:sz w:val="20"/>
                <w:szCs w:val="20"/>
                <w:lang w:val="en-GB" w:eastAsia="en-US"/>
              </w:rPr>
              <w:t>trade policy for services</w:t>
            </w:r>
            <w:bookmarkEnd w:id="143"/>
          </w:p>
          <w:p w14:paraId="07D3B087" w14:textId="77777777" w:rsidR="008F2D11" w:rsidRDefault="008F2D11" w:rsidP="000168EC">
            <w:pPr>
              <w:pStyle w:val="ListParagraph"/>
              <w:widowControl w:val="0"/>
              <w:numPr>
                <w:ilvl w:val="0"/>
                <w:numId w:val="23"/>
              </w:numPr>
              <w:spacing w:before="120" w:after="120" w:line="260" w:lineRule="exact"/>
              <w:ind w:left="664"/>
              <w:jc w:val="both"/>
              <w:outlineLvl w:val="0"/>
              <w:rPr>
                <w:rFonts w:ascii="Corbel" w:hAnsi="Corbel" w:cs="Arial"/>
                <w:sz w:val="20"/>
                <w:szCs w:val="20"/>
                <w:lang w:val="en-GB" w:eastAsia="en-US"/>
              </w:rPr>
            </w:pPr>
            <w:bookmarkStart w:id="144" w:name="_Toc103506680"/>
            <w:r w:rsidRPr="008F2D11">
              <w:rPr>
                <w:rFonts w:ascii="Corbel" w:hAnsi="Corbel" w:cs="Arial"/>
                <w:sz w:val="20"/>
                <w:szCs w:val="20"/>
                <w:lang w:val="en-GB" w:eastAsia="en-US"/>
              </w:rPr>
              <w:t xml:space="preserve">impacts of the membership </w:t>
            </w:r>
            <w:r>
              <w:rPr>
                <w:rFonts w:ascii="Corbel" w:hAnsi="Corbel" w:cs="Arial"/>
                <w:sz w:val="20"/>
                <w:szCs w:val="20"/>
                <w:lang w:val="en-GB" w:eastAsia="en-US"/>
              </w:rPr>
              <w:t>in the</w:t>
            </w:r>
            <w:r w:rsidRPr="008F2D11">
              <w:rPr>
                <w:rFonts w:ascii="Corbel" w:hAnsi="Corbel" w:cs="Arial"/>
                <w:sz w:val="20"/>
                <w:szCs w:val="20"/>
                <w:lang w:val="en-GB" w:eastAsia="en-US"/>
              </w:rPr>
              <w:t xml:space="preserve"> Arab Customs Union</w:t>
            </w:r>
            <w:bookmarkEnd w:id="144"/>
          </w:p>
          <w:p w14:paraId="23CEC2DE" w14:textId="77777777" w:rsidR="008F2D11" w:rsidRDefault="008F2D11" w:rsidP="000168EC">
            <w:pPr>
              <w:pStyle w:val="ListParagraph"/>
              <w:widowControl w:val="0"/>
              <w:numPr>
                <w:ilvl w:val="0"/>
                <w:numId w:val="23"/>
              </w:numPr>
              <w:spacing w:before="120" w:after="120" w:line="260" w:lineRule="exact"/>
              <w:ind w:left="664"/>
              <w:jc w:val="both"/>
              <w:outlineLvl w:val="0"/>
              <w:rPr>
                <w:rFonts w:ascii="Corbel" w:hAnsi="Corbel" w:cs="Arial"/>
                <w:sz w:val="20"/>
                <w:szCs w:val="20"/>
                <w:lang w:val="en-GB" w:eastAsia="en-US"/>
              </w:rPr>
            </w:pPr>
            <w:bookmarkStart w:id="145" w:name="_Toc103506681"/>
            <w:r w:rsidRPr="008F2D11">
              <w:rPr>
                <w:rFonts w:ascii="Corbel" w:hAnsi="Corbel" w:cs="Arial"/>
                <w:sz w:val="20"/>
                <w:szCs w:val="20"/>
                <w:lang w:val="en-GB" w:eastAsia="en-US"/>
              </w:rPr>
              <w:t xml:space="preserve">design of </w:t>
            </w:r>
            <w:r>
              <w:rPr>
                <w:rFonts w:ascii="Corbel" w:hAnsi="Corbel" w:cs="Arial"/>
                <w:sz w:val="20"/>
                <w:szCs w:val="20"/>
                <w:lang w:val="en-GB" w:eastAsia="en-US"/>
              </w:rPr>
              <w:t>National</w:t>
            </w:r>
            <w:r w:rsidRPr="008F2D11">
              <w:rPr>
                <w:rFonts w:ascii="Corbel" w:hAnsi="Corbel" w:cs="Arial"/>
                <w:sz w:val="20"/>
                <w:szCs w:val="20"/>
                <w:lang w:val="en-GB" w:eastAsia="en-US"/>
              </w:rPr>
              <w:t xml:space="preserve"> Single Window</w:t>
            </w:r>
            <w:r>
              <w:rPr>
                <w:rFonts w:ascii="Corbel" w:hAnsi="Corbel" w:cs="Arial"/>
                <w:sz w:val="20"/>
                <w:szCs w:val="20"/>
                <w:lang w:val="en-GB" w:eastAsia="en-US"/>
              </w:rPr>
              <w:t>s</w:t>
            </w:r>
            <w:bookmarkEnd w:id="145"/>
          </w:p>
          <w:p w14:paraId="65743CE6" w14:textId="77777777" w:rsidR="008F2D11" w:rsidRDefault="008F2D11" w:rsidP="000168EC">
            <w:pPr>
              <w:pStyle w:val="ListParagraph"/>
              <w:widowControl w:val="0"/>
              <w:numPr>
                <w:ilvl w:val="0"/>
                <w:numId w:val="23"/>
              </w:numPr>
              <w:spacing w:before="120" w:after="120" w:line="260" w:lineRule="exact"/>
              <w:ind w:left="664"/>
              <w:jc w:val="both"/>
              <w:outlineLvl w:val="0"/>
              <w:rPr>
                <w:rFonts w:ascii="Corbel" w:hAnsi="Corbel" w:cs="Arial"/>
                <w:sz w:val="20"/>
                <w:szCs w:val="20"/>
                <w:lang w:val="en-GB" w:eastAsia="en-US"/>
              </w:rPr>
            </w:pPr>
            <w:bookmarkStart w:id="146" w:name="_Toc103506682"/>
            <w:r>
              <w:rPr>
                <w:rFonts w:ascii="Corbel" w:hAnsi="Corbel" w:cs="Arial"/>
                <w:sz w:val="20"/>
                <w:szCs w:val="20"/>
                <w:lang w:val="en-GB" w:eastAsia="en-US"/>
              </w:rPr>
              <w:t>t</w:t>
            </w:r>
            <w:r w:rsidRPr="008F2D11">
              <w:rPr>
                <w:rFonts w:ascii="Corbel" w:hAnsi="Corbel" w:cs="Arial"/>
                <w:sz w:val="20"/>
                <w:szCs w:val="20"/>
                <w:lang w:val="en-GB" w:eastAsia="en-US"/>
              </w:rPr>
              <w:t>rade facilitation</w:t>
            </w:r>
            <w:r>
              <w:rPr>
                <w:rFonts w:ascii="Corbel" w:hAnsi="Corbel" w:cs="Arial"/>
                <w:sz w:val="20"/>
                <w:szCs w:val="20"/>
                <w:lang w:val="en-GB" w:eastAsia="en-US"/>
              </w:rPr>
              <w:t xml:space="preserve"> and negotiations</w:t>
            </w:r>
            <w:bookmarkEnd w:id="146"/>
          </w:p>
          <w:p w14:paraId="3CD13D33" w14:textId="77777777" w:rsidR="005C0C3F" w:rsidRDefault="008F2D11" w:rsidP="000168EC">
            <w:pPr>
              <w:pStyle w:val="ListParagraph"/>
              <w:widowControl w:val="0"/>
              <w:numPr>
                <w:ilvl w:val="0"/>
                <w:numId w:val="23"/>
              </w:numPr>
              <w:spacing w:before="120" w:after="120" w:line="260" w:lineRule="exact"/>
              <w:ind w:left="664"/>
              <w:jc w:val="both"/>
              <w:outlineLvl w:val="0"/>
              <w:rPr>
                <w:rFonts w:ascii="Corbel" w:hAnsi="Corbel" w:cs="Arial"/>
                <w:sz w:val="20"/>
                <w:szCs w:val="20"/>
                <w:lang w:val="en-GB" w:eastAsia="en-US"/>
              </w:rPr>
            </w:pPr>
            <w:bookmarkStart w:id="147" w:name="_Toc103506683"/>
            <w:r w:rsidRPr="008F2D11">
              <w:rPr>
                <w:rFonts w:ascii="Corbel" w:hAnsi="Corbel" w:cs="Arial"/>
                <w:sz w:val="20"/>
                <w:szCs w:val="20"/>
                <w:lang w:val="en-GB" w:eastAsia="en-US"/>
              </w:rPr>
              <w:t>Authorized Economic Operators</w:t>
            </w:r>
            <w:bookmarkEnd w:id="147"/>
          </w:p>
          <w:p w14:paraId="748F0634" w14:textId="3DC10F7E" w:rsidR="007E4B1B" w:rsidRPr="00EF1F01" w:rsidRDefault="008F2D11" w:rsidP="000168EC">
            <w:pPr>
              <w:pStyle w:val="ListParagraph"/>
              <w:widowControl w:val="0"/>
              <w:numPr>
                <w:ilvl w:val="0"/>
                <w:numId w:val="23"/>
              </w:numPr>
              <w:spacing w:before="120" w:after="120" w:line="260" w:lineRule="exact"/>
              <w:ind w:left="664"/>
              <w:jc w:val="both"/>
              <w:outlineLvl w:val="0"/>
              <w:rPr>
                <w:rFonts w:ascii="Corbel" w:hAnsi="Corbel" w:cs="Arial"/>
                <w:sz w:val="20"/>
                <w:szCs w:val="20"/>
                <w:lang w:val="en-GB" w:eastAsia="en-US"/>
              </w:rPr>
            </w:pPr>
            <w:bookmarkStart w:id="148" w:name="_Toc103506684"/>
            <w:r w:rsidRPr="008F2D11">
              <w:rPr>
                <w:rFonts w:ascii="Corbel" w:hAnsi="Corbel" w:cs="Arial"/>
                <w:sz w:val="20"/>
                <w:szCs w:val="20"/>
                <w:lang w:val="en-GB" w:eastAsia="en-US"/>
              </w:rPr>
              <w:t>Arab policy maker</w:t>
            </w:r>
            <w:r w:rsidR="005C0C3F">
              <w:rPr>
                <w:rFonts w:ascii="Corbel" w:hAnsi="Corbel" w:cs="Arial"/>
                <w:sz w:val="20"/>
                <w:szCs w:val="20"/>
                <w:lang w:val="en-GB" w:eastAsia="en-US"/>
              </w:rPr>
              <w:t xml:space="preserve">s were </w:t>
            </w:r>
            <w:r w:rsidR="007E4B1B" w:rsidRPr="008F2D11">
              <w:rPr>
                <w:rFonts w:ascii="Corbel" w:hAnsi="Corbel" w:cs="Arial"/>
                <w:sz w:val="20"/>
                <w:szCs w:val="20"/>
                <w:lang w:val="en-GB" w:eastAsia="en-US"/>
              </w:rPr>
              <w:t>trained virtually</w:t>
            </w:r>
            <w:r w:rsidR="00035A1C" w:rsidRPr="008F2D11">
              <w:rPr>
                <w:rFonts w:ascii="Corbel" w:hAnsi="Corbel" w:cs="Arial"/>
                <w:sz w:val="20"/>
                <w:szCs w:val="20"/>
                <w:lang w:val="en-GB" w:eastAsia="en-US"/>
              </w:rPr>
              <w:t xml:space="preserve"> on the impacts of Covid-19 on </w:t>
            </w:r>
            <w:r w:rsidR="00E33FB9" w:rsidRPr="008F2D11">
              <w:rPr>
                <w:rFonts w:ascii="Corbel" w:hAnsi="Corbel" w:cs="Arial"/>
                <w:sz w:val="20"/>
                <w:szCs w:val="20"/>
                <w:lang w:val="en-GB" w:eastAsia="en-US"/>
              </w:rPr>
              <w:t xml:space="preserve">international </w:t>
            </w:r>
            <w:r w:rsidR="000B229B" w:rsidRPr="008F2D11">
              <w:rPr>
                <w:rFonts w:ascii="Corbel" w:hAnsi="Corbel" w:cs="Arial"/>
                <w:sz w:val="20"/>
                <w:szCs w:val="20"/>
                <w:lang w:val="en-GB" w:eastAsia="en-US"/>
              </w:rPr>
              <w:t xml:space="preserve">and regional </w:t>
            </w:r>
            <w:r w:rsidR="00E33FB9" w:rsidRPr="008F2D11">
              <w:rPr>
                <w:rFonts w:ascii="Corbel" w:hAnsi="Corbel" w:cs="Arial"/>
                <w:sz w:val="20"/>
                <w:szCs w:val="20"/>
                <w:lang w:val="en-GB" w:eastAsia="en-US"/>
              </w:rPr>
              <w:t>trade</w:t>
            </w:r>
            <w:bookmarkEnd w:id="148"/>
            <w:r w:rsidR="00C41582" w:rsidRPr="008F2D11">
              <w:rPr>
                <w:rFonts w:ascii="Corbel" w:hAnsi="Corbel" w:cs="Arial"/>
                <w:sz w:val="20"/>
                <w:szCs w:val="20"/>
                <w:lang w:val="en-GB" w:eastAsia="en-US"/>
              </w:rPr>
              <w:t xml:space="preserve"> </w:t>
            </w:r>
          </w:p>
        </w:tc>
      </w:tr>
    </w:tbl>
    <w:p w14:paraId="29A9483E" w14:textId="77777777" w:rsidR="00A06682" w:rsidRPr="00EF1F01" w:rsidRDefault="00A06682" w:rsidP="0056537C">
      <w:pPr>
        <w:spacing w:line="276" w:lineRule="auto"/>
        <w:jc w:val="both"/>
        <w:outlineLvl w:val="0"/>
        <w:rPr>
          <w:rFonts w:ascii="Corbel" w:hAnsi="Corbel"/>
          <w:sz w:val="21"/>
          <w:szCs w:val="21"/>
          <w:lang w:val="en-GB"/>
        </w:rPr>
      </w:pPr>
    </w:p>
    <w:p w14:paraId="3633E04A" w14:textId="77777777" w:rsidR="0056537C" w:rsidRDefault="00D2664E" w:rsidP="0056537C">
      <w:pPr>
        <w:spacing w:line="276" w:lineRule="auto"/>
        <w:jc w:val="both"/>
        <w:outlineLvl w:val="0"/>
        <w:rPr>
          <w:rFonts w:ascii="Corbel" w:hAnsi="Corbel" w:cs="Arial"/>
          <w:b/>
          <w:bCs/>
          <w:sz w:val="22"/>
          <w:szCs w:val="22"/>
          <w:u w:val="single"/>
          <w:lang w:val="en-GB"/>
        </w:rPr>
      </w:pPr>
      <w:bookmarkStart w:id="149" w:name="_Toc103506685"/>
      <w:r w:rsidRPr="00D2664E">
        <w:rPr>
          <w:rFonts w:ascii="Corbel" w:hAnsi="Corbel" w:cs="Arial"/>
          <w:b/>
          <w:bCs/>
          <w:sz w:val="22"/>
          <w:szCs w:val="22"/>
          <w:u w:val="single"/>
          <w:lang w:val="en-GB"/>
        </w:rPr>
        <w:t>Outcome 2: Members states are capacitated and technically prepared for regional economic integration.</w:t>
      </w:r>
      <w:bookmarkEnd w:id="149"/>
    </w:p>
    <w:p w14:paraId="4245262A" w14:textId="77777777" w:rsidR="00D2664E" w:rsidRDefault="00D2664E" w:rsidP="0056537C">
      <w:pPr>
        <w:spacing w:line="276" w:lineRule="auto"/>
        <w:jc w:val="both"/>
        <w:outlineLvl w:val="0"/>
        <w:rPr>
          <w:rFonts w:ascii="Corbel" w:hAnsi="Corbel" w:cs="Arial"/>
          <w:b/>
          <w:bCs/>
          <w:sz w:val="22"/>
          <w:szCs w:val="22"/>
          <w:u w:val="single"/>
          <w:lang w:val="en-GB"/>
        </w:rPr>
      </w:pPr>
    </w:p>
    <w:p w14:paraId="411B7C02" w14:textId="480D7AC5" w:rsidR="00D2664E" w:rsidRDefault="00D2664E" w:rsidP="0056537C">
      <w:pPr>
        <w:spacing w:line="276" w:lineRule="auto"/>
        <w:jc w:val="both"/>
        <w:outlineLvl w:val="0"/>
        <w:rPr>
          <w:rFonts w:ascii="Corbel" w:hAnsi="Corbel"/>
          <w:b/>
          <w:bCs/>
          <w:sz w:val="21"/>
          <w:szCs w:val="21"/>
          <w:lang w:val="en-GB"/>
        </w:rPr>
      </w:pPr>
      <w:bookmarkStart w:id="150" w:name="_Toc103506686"/>
      <w:r w:rsidRPr="00D2664E">
        <w:rPr>
          <w:rFonts w:ascii="Corbel" w:hAnsi="Corbel"/>
          <w:b/>
          <w:sz w:val="21"/>
          <w:szCs w:val="21"/>
          <w:lang w:val="en-GB"/>
        </w:rPr>
        <w:t xml:space="preserve">Project Output 3: </w:t>
      </w:r>
      <w:r w:rsidRPr="00D2664E">
        <w:rPr>
          <w:rFonts w:ascii="Corbel" w:hAnsi="Corbel"/>
          <w:b/>
          <w:bCs/>
          <w:sz w:val="21"/>
          <w:szCs w:val="21"/>
          <w:lang w:val="en-GB"/>
        </w:rPr>
        <w:t xml:space="preserve">Provision of country based technical assistance to </w:t>
      </w:r>
      <w:r w:rsidR="00363E06" w:rsidRPr="00D2664E">
        <w:rPr>
          <w:rFonts w:ascii="Corbel" w:hAnsi="Corbel"/>
          <w:b/>
          <w:bCs/>
          <w:sz w:val="21"/>
          <w:szCs w:val="21"/>
          <w:lang w:val="en-GB"/>
        </w:rPr>
        <w:t>policymakers</w:t>
      </w:r>
      <w:r w:rsidRPr="00D2664E">
        <w:rPr>
          <w:rFonts w:ascii="Corbel" w:hAnsi="Corbel"/>
          <w:b/>
          <w:bCs/>
          <w:sz w:val="21"/>
          <w:szCs w:val="21"/>
          <w:lang w:val="en-GB"/>
        </w:rPr>
        <w:t xml:space="preserve"> for their activities related to trade policy reform and coherence</w:t>
      </w:r>
      <w:bookmarkEnd w:id="150"/>
    </w:p>
    <w:p w14:paraId="02BF3BAE" w14:textId="77777777" w:rsidR="00C4670D" w:rsidRDefault="00C4670D" w:rsidP="0056537C">
      <w:pPr>
        <w:spacing w:line="276" w:lineRule="auto"/>
        <w:jc w:val="both"/>
        <w:outlineLvl w:val="0"/>
        <w:rPr>
          <w:rFonts w:ascii="Corbel" w:hAnsi="Corbel"/>
          <w:sz w:val="21"/>
          <w:szCs w:val="21"/>
          <w:lang w:val="en-GB"/>
        </w:rPr>
      </w:pPr>
    </w:p>
    <w:p w14:paraId="39AA4322" w14:textId="77777777" w:rsidR="002E14AD" w:rsidRPr="0003093F" w:rsidRDefault="002E14AD" w:rsidP="002E14AD">
      <w:pPr>
        <w:spacing w:line="276" w:lineRule="auto"/>
        <w:jc w:val="both"/>
        <w:outlineLvl w:val="0"/>
        <w:rPr>
          <w:rFonts w:ascii="Corbel" w:eastAsia="Times New Roman" w:hAnsi="Corbel"/>
          <w:b/>
          <w:bCs/>
          <w:sz w:val="22"/>
          <w:szCs w:val="22"/>
          <w:lang w:val="en-GB"/>
        </w:rPr>
      </w:pPr>
      <w:bookmarkStart w:id="151" w:name="_Toc103506687"/>
      <w:r w:rsidRPr="0003093F">
        <w:rPr>
          <w:rFonts w:ascii="Corbel" w:eastAsia="Times New Roman" w:hAnsi="Corbel"/>
          <w:sz w:val="22"/>
          <w:szCs w:val="22"/>
          <w:lang w:val="en-GB"/>
        </w:rPr>
        <w:t xml:space="preserve">Activities under </w:t>
      </w:r>
      <w:r>
        <w:rPr>
          <w:rFonts w:ascii="Corbel" w:eastAsia="Times New Roman" w:hAnsi="Corbel"/>
          <w:sz w:val="22"/>
          <w:szCs w:val="22"/>
          <w:lang w:val="en-GB"/>
        </w:rPr>
        <w:t>output</w:t>
      </w:r>
      <w:r w:rsidRPr="0003093F">
        <w:rPr>
          <w:rFonts w:ascii="Corbel" w:eastAsia="Times New Roman" w:hAnsi="Corbel"/>
          <w:sz w:val="22"/>
          <w:szCs w:val="22"/>
          <w:lang w:val="en-GB"/>
        </w:rPr>
        <w:t xml:space="preserve"> 3 support</w:t>
      </w:r>
      <w:r>
        <w:rPr>
          <w:rFonts w:ascii="Corbel" w:eastAsia="Times New Roman" w:hAnsi="Corbel"/>
          <w:sz w:val="22"/>
          <w:szCs w:val="22"/>
          <w:lang w:val="en-GB"/>
        </w:rPr>
        <w:t>ed</w:t>
      </w:r>
      <w:r w:rsidRPr="0003093F">
        <w:rPr>
          <w:rFonts w:ascii="Corbel" w:eastAsia="Times New Roman" w:hAnsi="Corbel"/>
          <w:sz w:val="22"/>
          <w:szCs w:val="22"/>
          <w:lang w:val="en-GB"/>
        </w:rPr>
        <w:t xml:space="preserve"> specific countries to upgrade trade-related knowledge and policies based on international agreements and best practices. </w:t>
      </w:r>
      <w:r>
        <w:rPr>
          <w:rFonts w:ascii="Corbel" w:eastAsia="Times New Roman" w:hAnsi="Corbel"/>
          <w:sz w:val="22"/>
          <w:szCs w:val="22"/>
          <w:lang w:val="en-GB"/>
        </w:rPr>
        <w:t xml:space="preserve">The level of trade openness and trade policies modernization among Arab countries is uneven. Therefore, tailored national-level support, in response to LAS member states’ requests expressing their political will to modernise and align trade policies, was deemed essential to </w:t>
      </w:r>
      <w:r w:rsidRPr="0003093F">
        <w:rPr>
          <w:rFonts w:ascii="Corbel" w:eastAsia="Times New Roman" w:hAnsi="Corbel"/>
          <w:sz w:val="22"/>
          <w:szCs w:val="22"/>
          <w:lang w:val="en-GB"/>
        </w:rPr>
        <w:t>operationalize regional commitments</w:t>
      </w:r>
      <w:r>
        <w:rPr>
          <w:rFonts w:ascii="Corbel" w:eastAsia="Times New Roman" w:hAnsi="Corbel"/>
          <w:sz w:val="22"/>
          <w:szCs w:val="22"/>
          <w:lang w:val="en-GB"/>
        </w:rPr>
        <w:t xml:space="preserve"> and develop practices and lessons learned that can be adopted by other countries in the region</w:t>
      </w:r>
      <w:r w:rsidRPr="0003093F">
        <w:rPr>
          <w:rFonts w:ascii="Corbel" w:eastAsia="Times New Roman" w:hAnsi="Corbel"/>
          <w:sz w:val="22"/>
          <w:szCs w:val="22"/>
          <w:lang w:val="en-GB"/>
        </w:rPr>
        <w:t>.</w:t>
      </w:r>
      <w:bookmarkEnd w:id="151"/>
    </w:p>
    <w:p w14:paraId="53DE4764" w14:textId="77777777" w:rsidR="002E14AD" w:rsidRPr="0003093F" w:rsidRDefault="002E14AD" w:rsidP="002E14AD">
      <w:pPr>
        <w:spacing w:line="276" w:lineRule="auto"/>
        <w:jc w:val="both"/>
        <w:outlineLvl w:val="0"/>
        <w:rPr>
          <w:rFonts w:ascii="Corbel" w:hAnsi="Corbel" w:cstheme="minorHAnsi"/>
          <w:b/>
          <w:bCs/>
          <w:sz w:val="22"/>
          <w:szCs w:val="22"/>
          <w:lang w:val="en-GB"/>
        </w:rPr>
      </w:pPr>
    </w:p>
    <w:p w14:paraId="1165B194" w14:textId="77777777" w:rsidR="002E14AD" w:rsidRPr="0003093F" w:rsidRDefault="002E14AD" w:rsidP="002E14AD">
      <w:pPr>
        <w:spacing w:line="276" w:lineRule="auto"/>
        <w:jc w:val="both"/>
        <w:outlineLvl w:val="0"/>
        <w:rPr>
          <w:rFonts w:ascii="Corbel" w:hAnsi="Corbel"/>
          <w:sz w:val="22"/>
          <w:szCs w:val="22"/>
        </w:rPr>
      </w:pPr>
      <w:bookmarkStart w:id="152" w:name="_Toc103506688"/>
      <w:r w:rsidRPr="006F0B4C">
        <w:rPr>
          <w:rFonts w:ascii="Corbel" w:hAnsi="Corbel" w:cstheme="minorHAnsi"/>
          <w:sz w:val="22"/>
          <w:szCs w:val="22"/>
          <w:lang w:val="en-GB"/>
        </w:rPr>
        <w:t>The project</w:t>
      </w:r>
      <w:r w:rsidRPr="0003093F">
        <w:rPr>
          <w:rFonts w:ascii="Corbel" w:hAnsi="Corbel" w:cstheme="minorHAnsi"/>
          <w:sz w:val="22"/>
          <w:szCs w:val="22"/>
          <w:lang w:val="en-GB"/>
        </w:rPr>
        <w:t xml:space="preserve"> </w:t>
      </w:r>
      <w:r>
        <w:rPr>
          <w:rFonts w:ascii="Corbel" w:hAnsi="Corbel" w:cstheme="minorHAnsi"/>
          <w:sz w:val="22"/>
          <w:szCs w:val="22"/>
          <w:lang w:val="en-GB"/>
        </w:rPr>
        <w:t>e</w:t>
      </w:r>
      <w:proofErr w:type="spellStart"/>
      <w:r w:rsidRPr="0003093F">
        <w:rPr>
          <w:rFonts w:ascii="Corbel" w:hAnsi="Corbel"/>
          <w:sz w:val="22"/>
          <w:szCs w:val="22"/>
        </w:rPr>
        <w:t>xamine</w:t>
      </w:r>
      <w:r>
        <w:rPr>
          <w:rFonts w:ascii="Corbel" w:hAnsi="Corbel"/>
          <w:sz w:val="22"/>
          <w:szCs w:val="22"/>
        </w:rPr>
        <w:t>d</w:t>
      </w:r>
      <w:proofErr w:type="spellEnd"/>
      <w:r w:rsidRPr="0003093F">
        <w:rPr>
          <w:rFonts w:ascii="Corbel" w:hAnsi="Corbel"/>
          <w:sz w:val="22"/>
          <w:szCs w:val="22"/>
        </w:rPr>
        <w:t xml:space="preserve"> trade policy coherence and operating mechanisms </w:t>
      </w:r>
      <w:r>
        <w:rPr>
          <w:rFonts w:ascii="Corbel" w:hAnsi="Corbel"/>
          <w:sz w:val="22"/>
          <w:szCs w:val="22"/>
        </w:rPr>
        <w:t>to assess their</w:t>
      </w:r>
      <w:r w:rsidRPr="0003093F">
        <w:rPr>
          <w:rFonts w:ascii="Corbel" w:hAnsi="Corbel"/>
          <w:sz w:val="22"/>
          <w:szCs w:val="22"/>
        </w:rPr>
        <w:t xml:space="preserve"> compatibility </w:t>
      </w:r>
      <w:r>
        <w:rPr>
          <w:rFonts w:ascii="Corbel" w:hAnsi="Corbel"/>
          <w:sz w:val="22"/>
          <w:szCs w:val="22"/>
        </w:rPr>
        <w:t>with various</w:t>
      </w:r>
      <w:r w:rsidRPr="0003093F">
        <w:rPr>
          <w:rFonts w:ascii="Corbel" w:hAnsi="Corbel"/>
          <w:sz w:val="22"/>
          <w:szCs w:val="22"/>
        </w:rPr>
        <w:t xml:space="preserve"> trade agreements in selected countries</w:t>
      </w:r>
      <w:r>
        <w:rPr>
          <w:rFonts w:ascii="Corbel" w:hAnsi="Corbel"/>
          <w:sz w:val="22"/>
          <w:szCs w:val="22"/>
        </w:rPr>
        <w:t>. Specifically:</w:t>
      </w:r>
      <w:bookmarkEnd w:id="152"/>
      <w:r>
        <w:rPr>
          <w:rFonts w:ascii="Corbel" w:hAnsi="Corbel"/>
          <w:sz w:val="22"/>
          <w:szCs w:val="22"/>
        </w:rPr>
        <w:t xml:space="preserve"> </w:t>
      </w:r>
    </w:p>
    <w:p w14:paraId="055A43F9" w14:textId="22C7BA4C" w:rsidR="002E14AD" w:rsidRDefault="002E14AD" w:rsidP="000168EC">
      <w:pPr>
        <w:pStyle w:val="ListParagraph"/>
        <w:numPr>
          <w:ilvl w:val="0"/>
          <w:numId w:val="15"/>
        </w:numPr>
        <w:spacing w:line="276" w:lineRule="auto"/>
        <w:jc w:val="both"/>
        <w:outlineLvl w:val="0"/>
        <w:rPr>
          <w:rFonts w:ascii="Corbel" w:hAnsi="Corbel" w:cstheme="minorHAnsi"/>
          <w:sz w:val="22"/>
          <w:szCs w:val="22"/>
          <w:lang w:val="en-GB"/>
        </w:rPr>
      </w:pPr>
      <w:bookmarkStart w:id="153" w:name="_Toc103506689"/>
      <w:r w:rsidRPr="0003093F">
        <w:rPr>
          <w:rFonts w:ascii="Corbel" w:hAnsi="Corbel" w:cstheme="minorHAnsi"/>
          <w:sz w:val="22"/>
          <w:szCs w:val="22"/>
          <w:lang w:val="en-GB"/>
        </w:rPr>
        <w:t xml:space="preserve">Iraq, </w:t>
      </w:r>
      <w:r w:rsidR="00363E06" w:rsidRPr="0003093F">
        <w:rPr>
          <w:rFonts w:ascii="Corbel" w:hAnsi="Corbel" w:cstheme="minorHAnsi"/>
          <w:sz w:val="22"/>
          <w:szCs w:val="22"/>
          <w:lang w:val="en-GB"/>
        </w:rPr>
        <w:t xml:space="preserve">Morocco, </w:t>
      </w:r>
      <w:r w:rsidR="00363E06">
        <w:rPr>
          <w:rFonts w:ascii="Corbel" w:hAnsi="Corbel" w:cstheme="minorHAnsi"/>
          <w:sz w:val="22"/>
          <w:szCs w:val="22"/>
          <w:lang w:val="en-GB"/>
        </w:rPr>
        <w:t>and</w:t>
      </w:r>
      <w:r>
        <w:rPr>
          <w:rFonts w:ascii="Corbel" w:hAnsi="Corbel" w:cstheme="minorHAnsi"/>
          <w:sz w:val="22"/>
          <w:szCs w:val="22"/>
          <w:lang w:val="en-GB"/>
        </w:rPr>
        <w:t xml:space="preserve"> </w:t>
      </w:r>
      <w:r w:rsidRPr="0003093F">
        <w:rPr>
          <w:rFonts w:ascii="Corbel" w:hAnsi="Corbel" w:cstheme="minorHAnsi"/>
          <w:sz w:val="22"/>
          <w:szCs w:val="22"/>
          <w:lang w:val="en-GB"/>
        </w:rPr>
        <w:t xml:space="preserve">Palestine </w:t>
      </w:r>
      <w:r>
        <w:rPr>
          <w:rFonts w:ascii="Corbel" w:hAnsi="Corbel" w:cstheme="minorHAnsi"/>
          <w:sz w:val="22"/>
          <w:szCs w:val="22"/>
          <w:lang w:val="en-GB"/>
        </w:rPr>
        <w:t xml:space="preserve">were supported </w:t>
      </w:r>
      <w:r w:rsidRPr="0003093F">
        <w:rPr>
          <w:rFonts w:ascii="Corbel" w:hAnsi="Corbel" w:cstheme="minorHAnsi"/>
          <w:sz w:val="22"/>
          <w:szCs w:val="22"/>
          <w:lang w:val="en-GB"/>
        </w:rPr>
        <w:t xml:space="preserve">in </w:t>
      </w:r>
      <w:r>
        <w:rPr>
          <w:rFonts w:ascii="Corbel" w:hAnsi="Corbel" w:cstheme="minorHAnsi"/>
          <w:sz w:val="22"/>
          <w:szCs w:val="22"/>
          <w:lang w:val="en-GB"/>
        </w:rPr>
        <w:t>the progressive</w:t>
      </w:r>
      <w:r w:rsidRPr="0003093F">
        <w:rPr>
          <w:rFonts w:ascii="Corbel" w:hAnsi="Corbel" w:cstheme="minorHAnsi"/>
          <w:sz w:val="22"/>
          <w:szCs w:val="22"/>
          <w:lang w:val="en-GB"/>
        </w:rPr>
        <w:t xml:space="preserve"> align</w:t>
      </w:r>
      <w:r>
        <w:rPr>
          <w:rFonts w:ascii="Corbel" w:hAnsi="Corbel" w:cstheme="minorHAnsi"/>
          <w:sz w:val="22"/>
          <w:szCs w:val="22"/>
          <w:lang w:val="en-GB"/>
        </w:rPr>
        <w:t>ment of</w:t>
      </w:r>
      <w:r w:rsidRPr="0003093F">
        <w:rPr>
          <w:rFonts w:ascii="Corbel" w:hAnsi="Corbel" w:cstheme="minorHAnsi"/>
          <w:sz w:val="22"/>
          <w:szCs w:val="22"/>
          <w:lang w:val="en-GB"/>
        </w:rPr>
        <w:t xml:space="preserve"> national trade policies to WTO practices in trade in goods and trade in services.</w:t>
      </w:r>
      <w:bookmarkEnd w:id="153"/>
    </w:p>
    <w:p w14:paraId="72EE6CB0" w14:textId="77777777" w:rsidR="002E14AD" w:rsidRPr="00B13C93" w:rsidRDefault="002E14AD" w:rsidP="000168EC">
      <w:pPr>
        <w:pStyle w:val="ListParagraph"/>
        <w:numPr>
          <w:ilvl w:val="0"/>
          <w:numId w:val="15"/>
        </w:numPr>
        <w:spacing w:line="276" w:lineRule="auto"/>
        <w:jc w:val="both"/>
        <w:outlineLvl w:val="0"/>
        <w:rPr>
          <w:rFonts w:ascii="Corbel" w:hAnsi="Corbel" w:cstheme="minorBidi"/>
          <w:sz w:val="22"/>
          <w:szCs w:val="22"/>
          <w:lang w:val="en-GB"/>
        </w:rPr>
      </w:pPr>
      <w:bookmarkStart w:id="154" w:name="_Toc103506690"/>
      <w:r w:rsidRPr="4F6DD0A6">
        <w:rPr>
          <w:rFonts w:ascii="Corbel" w:hAnsi="Corbel"/>
          <w:sz w:val="22"/>
          <w:szCs w:val="22"/>
          <w:lang w:val="en-GB"/>
        </w:rPr>
        <w:t>The project supported Iraq and Palestine to approximate their trade policies to international standards and conventions of the multilateral systems in views of their forthcoming negotiations for WTO membership. As a follow-up, t</w:t>
      </w:r>
      <w:r w:rsidRPr="4F6DD0A6">
        <w:rPr>
          <w:rFonts w:ascii="Corbel" w:hAnsi="Corbel" w:cstheme="minorBidi"/>
          <w:sz w:val="22"/>
          <w:szCs w:val="22"/>
          <w:lang w:val="en-GB"/>
        </w:rPr>
        <w:t>he project developed the capacity of the Iraqi Chairman of the newly established Working Party for Negotiations to prepare the country negotiations for WTO membership.</w:t>
      </w:r>
      <w:bookmarkEnd w:id="154"/>
      <w:r w:rsidRPr="00E82B78">
        <w:rPr>
          <w:rFonts w:ascii="Corbel" w:hAnsi="Corbel"/>
          <w:sz w:val="21"/>
          <w:szCs w:val="21"/>
          <w:lang w:val="en-GB"/>
        </w:rPr>
        <w:t xml:space="preserve"> </w:t>
      </w:r>
    </w:p>
    <w:p w14:paraId="3FCC95D9" w14:textId="12FB1906" w:rsidR="002E14AD" w:rsidRPr="00B13C93" w:rsidRDefault="002E14AD" w:rsidP="000168EC">
      <w:pPr>
        <w:pStyle w:val="ListParagraph"/>
        <w:numPr>
          <w:ilvl w:val="0"/>
          <w:numId w:val="15"/>
        </w:numPr>
        <w:spacing w:line="276" w:lineRule="auto"/>
        <w:jc w:val="both"/>
        <w:outlineLvl w:val="0"/>
        <w:rPr>
          <w:rFonts w:ascii="Corbel" w:hAnsi="Corbel" w:cstheme="minorHAnsi"/>
          <w:sz w:val="22"/>
          <w:szCs w:val="22"/>
          <w:lang w:val="en-GB"/>
        </w:rPr>
      </w:pPr>
      <w:bookmarkStart w:id="155" w:name="_Toc103506691"/>
      <w:r w:rsidRPr="00B13C93">
        <w:rPr>
          <w:rFonts w:ascii="Corbel" w:hAnsi="Corbel"/>
          <w:sz w:val="21"/>
          <w:szCs w:val="21"/>
          <w:lang w:val="en-GB"/>
        </w:rPr>
        <w:t xml:space="preserve">Upon the request of member states, additional technical studies were prepared to increase policy makers understanding in selected areas particularly relevant for economic integration in the region </w:t>
      </w:r>
      <w:r w:rsidR="00363E06" w:rsidRPr="00B13C93">
        <w:rPr>
          <w:rFonts w:ascii="Corbel" w:hAnsi="Corbel"/>
          <w:sz w:val="21"/>
          <w:szCs w:val="21"/>
          <w:lang w:val="en-GB"/>
        </w:rPr>
        <w:t>and alignment</w:t>
      </w:r>
      <w:r w:rsidRPr="00B13C93">
        <w:rPr>
          <w:rFonts w:ascii="Corbel" w:hAnsi="Corbel"/>
          <w:sz w:val="21"/>
          <w:szCs w:val="21"/>
          <w:lang w:val="en-GB"/>
        </w:rPr>
        <w:t xml:space="preserve"> to regional and multilateral trade commitment, including those related to WTO membership, trade in tourism services, trade to foster the green and circular economy, and e-commerce.</w:t>
      </w:r>
      <w:bookmarkEnd w:id="155"/>
    </w:p>
    <w:p w14:paraId="269D6DB1" w14:textId="50114D40" w:rsidR="002E14AD" w:rsidRPr="00EB0211" w:rsidRDefault="002E14AD" w:rsidP="000168EC">
      <w:pPr>
        <w:pStyle w:val="ListParagraph"/>
        <w:numPr>
          <w:ilvl w:val="0"/>
          <w:numId w:val="15"/>
        </w:numPr>
        <w:spacing w:line="276" w:lineRule="auto"/>
        <w:jc w:val="both"/>
        <w:outlineLvl w:val="0"/>
        <w:rPr>
          <w:rFonts w:ascii="Corbel" w:hAnsi="Corbel"/>
          <w:b/>
          <w:bCs/>
          <w:sz w:val="22"/>
          <w:szCs w:val="22"/>
          <w:lang w:val="en-GB"/>
        </w:rPr>
      </w:pPr>
      <w:bookmarkStart w:id="156" w:name="_Toc103506692"/>
      <w:r>
        <w:rPr>
          <w:rFonts w:ascii="Corbel" w:hAnsi="Corbel"/>
          <w:sz w:val="22"/>
          <w:szCs w:val="22"/>
          <w:lang w:val="en-GB"/>
        </w:rPr>
        <w:t>In Morocco, a</w:t>
      </w:r>
      <w:r w:rsidRPr="0003093F">
        <w:rPr>
          <w:rFonts w:ascii="Corbel" w:hAnsi="Corbel"/>
          <w:sz w:val="22"/>
          <w:szCs w:val="22"/>
          <w:lang w:val="en-GB"/>
        </w:rPr>
        <w:t xml:space="preserve"> trade policy review in three service sectors was carried out </w:t>
      </w:r>
      <w:r>
        <w:rPr>
          <w:rFonts w:ascii="Corbel" w:hAnsi="Corbel"/>
          <w:sz w:val="22"/>
          <w:szCs w:val="22"/>
          <w:lang w:val="en-GB"/>
        </w:rPr>
        <w:t>in</w:t>
      </w:r>
      <w:r w:rsidRPr="0003093F">
        <w:rPr>
          <w:rFonts w:ascii="Corbel" w:hAnsi="Corbel"/>
          <w:sz w:val="22"/>
          <w:szCs w:val="22"/>
          <w:lang w:val="en-GB"/>
        </w:rPr>
        <w:t xml:space="preserve"> partnership with the Government</w:t>
      </w:r>
      <w:r>
        <w:rPr>
          <w:rFonts w:ascii="Corbel" w:hAnsi="Corbel"/>
          <w:sz w:val="22"/>
          <w:szCs w:val="22"/>
          <w:lang w:val="en-GB"/>
        </w:rPr>
        <w:t xml:space="preserve"> and UNCTAD</w:t>
      </w:r>
      <w:r w:rsidRPr="0003093F">
        <w:rPr>
          <w:rFonts w:ascii="Corbel" w:hAnsi="Corbel"/>
          <w:sz w:val="22"/>
          <w:szCs w:val="22"/>
          <w:lang w:val="en-GB"/>
        </w:rPr>
        <w:t>. A survey gather</w:t>
      </w:r>
      <w:r>
        <w:rPr>
          <w:rFonts w:ascii="Corbel" w:hAnsi="Corbel"/>
          <w:sz w:val="22"/>
          <w:szCs w:val="22"/>
          <w:lang w:val="en-GB"/>
        </w:rPr>
        <w:t>ed</w:t>
      </w:r>
      <w:r w:rsidRPr="0003093F">
        <w:rPr>
          <w:rFonts w:ascii="Corbel" w:hAnsi="Corbel"/>
          <w:sz w:val="22"/>
          <w:szCs w:val="22"/>
          <w:lang w:val="en-GB"/>
        </w:rPr>
        <w:t xml:space="preserve"> information and trade statistics from </w:t>
      </w:r>
      <w:r>
        <w:rPr>
          <w:rFonts w:ascii="Corbel" w:hAnsi="Corbel"/>
          <w:sz w:val="22"/>
          <w:szCs w:val="22"/>
          <w:lang w:val="en-GB"/>
        </w:rPr>
        <w:t>public</w:t>
      </w:r>
      <w:r w:rsidRPr="0003093F">
        <w:rPr>
          <w:rFonts w:ascii="Corbel" w:hAnsi="Corbel"/>
          <w:sz w:val="22"/>
          <w:szCs w:val="22"/>
          <w:lang w:val="en-GB"/>
        </w:rPr>
        <w:t xml:space="preserve"> and private services suppliers in Morocco. </w:t>
      </w:r>
      <w:r>
        <w:rPr>
          <w:rFonts w:ascii="Corbel" w:hAnsi="Corbel"/>
          <w:sz w:val="22"/>
          <w:szCs w:val="22"/>
          <w:lang w:val="en-GB"/>
        </w:rPr>
        <w:t>The study also revealed the negative impact of</w:t>
      </w:r>
      <w:r w:rsidRPr="0003093F">
        <w:rPr>
          <w:rFonts w:ascii="Corbel" w:hAnsi="Corbel"/>
          <w:sz w:val="22"/>
          <w:szCs w:val="22"/>
          <w:lang w:val="en-GB"/>
        </w:rPr>
        <w:t xml:space="preserve"> Covid-19 </w:t>
      </w:r>
      <w:r>
        <w:rPr>
          <w:rFonts w:ascii="Corbel" w:hAnsi="Corbel"/>
          <w:sz w:val="22"/>
          <w:szCs w:val="22"/>
          <w:lang w:val="en-GB"/>
        </w:rPr>
        <w:t>on business</w:t>
      </w:r>
      <w:r w:rsidRPr="0003093F">
        <w:rPr>
          <w:rFonts w:ascii="Corbel" w:hAnsi="Corbel"/>
          <w:sz w:val="22"/>
          <w:szCs w:val="22"/>
          <w:lang w:val="en-GB"/>
        </w:rPr>
        <w:t xml:space="preserve"> opportunities and employment</w:t>
      </w:r>
      <w:r>
        <w:rPr>
          <w:rFonts w:ascii="Corbel" w:hAnsi="Corbel"/>
          <w:sz w:val="22"/>
          <w:szCs w:val="22"/>
          <w:lang w:val="en-GB"/>
        </w:rPr>
        <w:t>, with women and women-run businesses being the most affected</w:t>
      </w:r>
      <w:r w:rsidRPr="0003093F">
        <w:rPr>
          <w:rFonts w:ascii="Corbel" w:hAnsi="Corbel"/>
          <w:sz w:val="22"/>
          <w:szCs w:val="22"/>
          <w:lang w:val="en-GB"/>
        </w:rPr>
        <w:t xml:space="preserve">. </w:t>
      </w:r>
      <w:r>
        <w:rPr>
          <w:rFonts w:ascii="Corbel" w:hAnsi="Corbel"/>
          <w:sz w:val="22"/>
          <w:szCs w:val="22"/>
          <w:lang w:val="en-GB"/>
        </w:rPr>
        <w:t>T</w:t>
      </w:r>
      <w:r w:rsidRPr="0003093F">
        <w:rPr>
          <w:rFonts w:ascii="Corbel" w:hAnsi="Corbel"/>
          <w:sz w:val="22"/>
          <w:szCs w:val="22"/>
          <w:lang w:val="en-GB"/>
        </w:rPr>
        <w:t>he study</w:t>
      </w:r>
      <w:r>
        <w:rPr>
          <w:rFonts w:ascii="Corbel" w:hAnsi="Corbel"/>
          <w:sz w:val="22"/>
          <w:szCs w:val="22"/>
          <w:lang w:val="en-GB"/>
        </w:rPr>
        <w:t>’s</w:t>
      </w:r>
      <w:r w:rsidRPr="0003093F">
        <w:rPr>
          <w:rFonts w:ascii="Corbel" w:hAnsi="Corbel"/>
          <w:sz w:val="22"/>
          <w:szCs w:val="22"/>
          <w:lang w:val="en-GB"/>
        </w:rPr>
        <w:t xml:space="preserve"> 20 policy recommendations</w:t>
      </w:r>
      <w:r>
        <w:rPr>
          <w:rFonts w:ascii="Corbel" w:hAnsi="Corbel"/>
          <w:sz w:val="22"/>
          <w:szCs w:val="22"/>
          <w:lang w:val="en-GB"/>
        </w:rPr>
        <w:t>, validated through consultations with local stakeholders and international experts,</w:t>
      </w:r>
      <w:r w:rsidRPr="0003093F">
        <w:rPr>
          <w:rFonts w:ascii="Corbel" w:hAnsi="Corbel"/>
          <w:sz w:val="22"/>
          <w:szCs w:val="22"/>
          <w:lang w:val="en-GB"/>
        </w:rPr>
        <w:t xml:space="preserve"> contribute</w:t>
      </w:r>
      <w:r>
        <w:rPr>
          <w:rFonts w:ascii="Corbel" w:hAnsi="Corbel"/>
          <w:sz w:val="22"/>
          <w:szCs w:val="22"/>
          <w:lang w:val="en-GB"/>
        </w:rPr>
        <w:t>d</w:t>
      </w:r>
      <w:r w:rsidRPr="0003093F">
        <w:rPr>
          <w:rFonts w:ascii="Corbel" w:hAnsi="Corbel"/>
          <w:sz w:val="22"/>
          <w:szCs w:val="22"/>
          <w:lang w:val="en-GB"/>
        </w:rPr>
        <w:t xml:space="preserve"> to facilitat</w:t>
      </w:r>
      <w:r w:rsidR="00EB015C">
        <w:rPr>
          <w:rFonts w:ascii="Corbel" w:hAnsi="Corbel"/>
          <w:sz w:val="22"/>
          <w:szCs w:val="22"/>
          <w:lang w:val="en-GB"/>
        </w:rPr>
        <w:t>ing</w:t>
      </w:r>
      <w:r w:rsidRPr="0003093F">
        <w:rPr>
          <w:rFonts w:ascii="Corbel" w:hAnsi="Corbel"/>
          <w:sz w:val="22"/>
          <w:szCs w:val="22"/>
          <w:lang w:val="en-GB"/>
        </w:rPr>
        <w:t xml:space="preserve"> </w:t>
      </w:r>
      <w:r>
        <w:rPr>
          <w:rFonts w:ascii="Corbel" w:hAnsi="Corbel"/>
          <w:sz w:val="22"/>
          <w:szCs w:val="22"/>
          <w:lang w:val="en-GB"/>
        </w:rPr>
        <w:t xml:space="preserve">Morocco’s </w:t>
      </w:r>
      <w:r w:rsidRPr="0003093F">
        <w:rPr>
          <w:rFonts w:ascii="Corbel" w:hAnsi="Corbel"/>
          <w:sz w:val="22"/>
          <w:szCs w:val="22"/>
          <w:lang w:val="en-GB"/>
        </w:rPr>
        <w:t xml:space="preserve">negotiations </w:t>
      </w:r>
      <w:r>
        <w:rPr>
          <w:rFonts w:ascii="Corbel" w:hAnsi="Corbel"/>
          <w:sz w:val="22"/>
          <w:szCs w:val="22"/>
          <w:lang w:val="en-GB"/>
        </w:rPr>
        <w:t>with the</w:t>
      </w:r>
      <w:r w:rsidRPr="0003093F">
        <w:rPr>
          <w:rFonts w:ascii="Corbel" w:hAnsi="Corbel"/>
          <w:sz w:val="22"/>
          <w:szCs w:val="22"/>
          <w:lang w:val="en-GB"/>
        </w:rPr>
        <w:t xml:space="preserve"> African Continental Free </w:t>
      </w:r>
      <w:r w:rsidR="00363E06" w:rsidRPr="0003093F">
        <w:rPr>
          <w:rFonts w:ascii="Corbel" w:hAnsi="Corbel"/>
          <w:sz w:val="22"/>
          <w:szCs w:val="22"/>
          <w:lang w:val="en-GB"/>
        </w:rPr>
        <w:t>Trade</w:t>
      </w:r>
      <w:r w:rsidRPr="0003093F">
        <w:rPr>
          <w:rFonts w:ascii="Corbel" w:hAnsi="Corbel"/>
          <w:sz w:val="22"/>
          <w:szCs w:val="22"/>
          <w:lang w:val="en-GB"/>
        </w:rPr>
        <w:t xml:space="preserve"> Area (</w:t>
      </w:r>
      <w:proofErr w:type="spellStart"/>
      <w:r w:rsidRPr="0003093F">
        <w:rPr>
          <w:rFonts w:ascii="Corbel" w:hAnsi="Corbel"/>
          <w:sz w:val="22"/>
          <w:szCs w:val="22"/>
          <w:lang w:val="en-GB"/>
        </w:rPr>
        <w:t>Afc</w:t>
      </w:r>
      <w:proofErr w:type="spellEnd"/>
      <w:r w:rsidRPr="0003093F">
        <w:rPr>
          <w:rFonts w:ascii="Corbel" w:hAnsi="Corbel"/>
          <w:sz w:val="22"/>
          <w:szCs w:val="22"/>
          <w:lang w:val="en-GB"/>
        </w:rPr>
        <w:t xml:space="preserve"> FTA).</w:t>
      </w:r>
      <w:bookmarkEnd w:id="156"/>
    </w:p>
    <w:p w14:paraId="456CEC14" w14:textId="612FABE2" w:rsidR="00EB0211" w:rsidRPr="001D1941" w:rsidRDefault="00BB4BD4" w:rsidP="000168EC">
      <w:pPr>
        <w:pStyle w:val="ListParagraph"/>
        <w:numPr>
          <w:ilvl w:val="1"/>
          <w:numId w:val="15"/>
        </w:numPr>
        <w:spacing w:line="276" w:lineRule="auto"/>
        <w:ind w:hanging="306"/>
        <w:contextualSpacing w:val="0"/>
        <w:jc w:val="both"/>
        <w:outlineLvl w:val="0"/>
        <w:rPr>
          <w:rFonts w:ascii="Corbel" w:hAnsi="Corbel" w:cstheme="minorHAnsi"/>
          <w:b/>
          <w:bCs/>
          <w:sz w:val="22"/>
          <w:szCs w:val="22"/>
          <w:lang w:val="en-GB"/>
        </w:rPr>
      </w:pPr>
      <w:bookmarkStart w:id="157" w:name="_Toc103506693"/>
      <w:r>
        <w:rPr>
          <w:rFonts w:ascii="Corbel" w:hAnsi="Corbel" w:cs="Arial"/>
          <w:sz w:val="22"/>
          <w:szCs w:val="22"/>
          <w:lang w:val="en-GB"/>
        </w:rPr>
        <w:t xml:space="preserve">An assessment of </w:t>
      </w:r>
      <w:proofErr w:type="spellStart"/>
      <w:r w:rsidR="00282622" w:rsidRPr="00672D40">
        <w:rPr>
          <w:rFonts w:ascii="Corbel" w:hAnsi="Corbel" w:cs="Arial"/>
          <w:sz w:val="22"/>
          <w:szCs w:val="22"/>
          <w:lang w:val="en-GB"/>
        </w:rPr>
        <w:t>PortNet</w:t>
      </w:r>
      <w:proofErr w:type="spellEnd"/>
      <w:r w:rsidR="00282622">
        <w:rPr>
          <w:rFonts w:ascii="Corbel" w:hAnsi="Corbel" w:cs="Arial"/>
          <w:sz w:val="22"/>
          <w:szCs w:val="22"/>
          <w:lang w:val="en-GB"/>
        </w:rPr>
        <w:t xml:space="preserve"> (</w:t>
      </w:r>
      <w:r>
        <w:rPr>
          <w:rFonts w:ascii="Corbel" w:hAnsi="Corbel" w:cs="Arial"/>
          <w:sz w:val="22"/>
          <w:szCs w:val="22"/>
          <w:lang w:val="en-GB"/>
        </w:rPr>
        <w:t xml:space="preserve">the </w:t>
      </w:r>
      <w:r w:rsidR="00282622">
        <w:rPr>
          <w:rFonts w:ascii="Corbel" w:hAnsi="Corbel" w:cs="Arial"/>
          <w:sz w:val="22"/>
          <w:szCs w:val="22"/>
          <w:lang w:val="en-GB"/>
        </w:rPr>
        <w:t>IT solution for the operationalization of the Moroccan National Single Window)</w:t>
      </w:r>
      <w:r w:rsidR="00EB0211" w:rsidRPr="00672D40">
        <w:rPr>
          <w:rFonts w:ascii="Corbel" w:hAnsi="Corbel" w:cs="Arial"/>
          <w:sz w:val="22"/>
          <w:szCs w:val="22"/>
          <w:lang w:val="en-GB"/>
        </w:rPr>
        <w:t xml:space="preserve"> </w:t>
      </w:r>
      <w:bookmarkStart w:id="158" w:name="_Hlk91861911"/>
      <w:r w:rsidR="00C42B90">
        <w:rPr>
          <w:rFonts w:ascii="Corbel" w:hAnsi="Corbel" w:cs="Arial"/>
          <w:sz w:val="22"/>
          <w:szCs w:val="22"/>
          <w:lang w:val="en-GB"/>
        </w:rPr>
        <w:t>done in cooperation</w:t>
      </w:r>
      <w:r w:rsidR="00EB0211">
        <w:rPr>
          <w:rFonts w:ascii="Corbel" w:hAnsi="Corbel" w:cstheme="minorHAnsi"/>
          <w:sz w:val="22"/>
          <w:szCs w:val="22"/>
          <w:lang w:val="en-GB"/>
        </w:rPr>
        <w:t xml:space="preserve"> with </w:t>
      </w:r>
      <w:r w:rsidR="00C42B90">
        <w:rPr>
          <w:rFonts w:ascii="Corbel" w:hAnsi="Corbel" w:cstheme="minorHAnsi"/>
          <w:sz w:val="22"/>
          <w:szCs w:val="22"/>
          <w:lang w:val="en-GB"/>
        </w:rPr>
        <w:t xml:space="preserve">the </w:t>
      </w:r>
      <w:proofErr w:type="spellStart"/>
      <w:r w:rsidR="00EB0211">
        <w:rPr>
          <w:rFonts w:ascii="Corbel" w:hAnsi="Corbel" w:cstheme="minorHAnsi"/>
          <w:sz w:val="22"/>
          <w:szCs w:val="22"/>
          <w:lang w:val="en-GB"/>
        </w:rPr>
        <w:t>PortNet</w:t>
      </w:r>
      <w:proofErr w:type="spellEnd"/>
      <w:r w:rsidR="00EB0211">
        <w:rPr>
          <w:rFonts w:ascii="Corbel" w:hAnsi="Corbel" w:cstheme="minorHAnsi"/>
          <w:sz w:val="22"/>
          <w:szCs w:val="22"/>
          <w:lang w:val="en-GB"/>
        </w:rPr>
        <w:t xml:space="preserve"> operator and the Moroccan Customs, </w:t>
      </w:r>
      <w:r w:rsidR="001D1941">
        <w:rPr>
          <w:rFonts w:ascii="Corbel" w:hAnsi="Corbel" w:cstheme="minorHAnsi"/>
          <w:sz w:val="22"/>
          <w:szCs w:val="22"/>
          <w:lang w:val="en-GB"/>
        </w:rPr>
        <w:t>revealed some necessary upgrading to enhance the platform interoperability.</w:t>
      </w:r>
      <w:bookmarkEnd w:id="157"/>
      <w:bookmarkEnd w:id="158"/>
    </w:p>
    <w:p w14:paraId="0085DA33" w14:textId="77777777" w:rsidR="002E14AD" w:rsidRDefault="002E14AD" w:rsidP="000168EC">
      <w:pPr>
        <w:pStyle w:val="ListParagraph"/>
        <w:numPr>
          <w:ilvl w:val="0"/>
          <w:numId w:val="15"/>
        </w:numPr>
        <w:spacing w:line="276" w:lineRule="auto"/>
        <w:jc w:val="both"/>
        <w:outlineLvl w:val="0"/>
        <w:rPr>
          <w:rFonts w:ascii="Corbel" w:hAnsi="Corbel" w:cstheme="minorHAnsi"/>
          <w:sz w:val="22"/>
          <w:szCs w:val="22"/>
          <w:lang w:val="en-GB"/>
        </w:rPr>
      </w:pPr>
      <w:bookmarkStart w:id="159" w:name="_Toc103506694"/>
      <w:r w:rsidRPr="0003093F">
        <w:rPr>
          <w:rFonts w:ascii="Corbel" w:hAnsi="Corbel" w:cstheme="minorHAnsi"/>
          <w:sz w:val="22"/>
          <w:szCs w:val="22"/>
          <w:lang w:val="en-GB"/>
        </w:rPr>
        <w:t xml:space="preserve">A proposal </w:t>
      </w:r>
      <w:r>
        <w:rPr>
          <w:rFonts w:ascii="Corbel" w:hAnsi="Corbel" w:cstheme="minorHAnsi"/>
          <w:sz w:val="22"/>
          <w:szCs w:val="22"/>
          <w:lang w:val="en-GB"/>
        </w:rPr>
        <w:t>for the</w:t>
      </w:r>
      <w:r w:rsidRPr="0003093F">
        <w:rPr>
          <w:rFonts w:ascii="Corbel" w:hAnsi="Corbel" w:cstheme="minorHAnsi"/>
          <w:sz w:val="22"/>
          <w:szCs w:val="22"/>
          <w:lang w:val="en-GB"/>
        </w:rPr>
        <w:t xml:space="preserve"> promotion of </w:t>
      </w:r>
      <w:r>
        <w:rPr>
          <w:rFonts w:ascii="Corbel" w:hAnsi="Corbel" w:cstheme="minorHAnsi"/>
          <w:sz w:val="22"/>
          <w:szCs w:val="22"/>
          <w:lang w:val="en-GB"/>
        </w:rPr>
        <w:t>a</w:t>
      </w:r>
      <w:r w:rsidRPr="0003093F">
        <w:rPr>
          <w:rFonts w:ascii="Corbel" w:hAnsi="Corbel" w:cstheme="minorHAnsi"/>
          <w:sz w:val="22"/>
          <w:szCs w:val="22"/>
          <w:lang w:val="en-GB"/>
        </w:rPr>
        <w:t xml:space="preserve"> Coalition of Services Operators was presented to Jordan and Morocco</w:t>
      </w:r>
      <w:r>
        <w:rPr>
          <w:rFonts w:ascii="Corbel" w:hAnsi="Corbel" w:cstheme="minorHAnsi"/>
          <w:sz w:val="22"/>
          <w:szCs w:val="22"/>
          <w:lang w:val="en-GB"/>
        </w:rPr>
        <w:t xml:space="preserve"> policy makers</w:t>
      </w:r>
      <w:r w:rsidRPr="0003093F">
        <w:rPr>
          <w:rFonts w:ascii="Corbel" w:hAnsi="Corbel" w:cstheme="minorHAnsi"/>
          <w:sz w:val="22"/>
          <w:szCs w:val="22"/>
          <w:lang w:val="en-GB"/>
        </w:rPr>
        <w:t>.</w:t>
      </w:r>
      <w:bookmarkEnd w:id="159"/>
      <w:r w:rsidRPr="0003093F">
        <w:rPr>
          <w:rFonts w:ascii="Corbel" w:hAnsi="Corbel" w:cstheme="minorHAnsi"/>
          <w:sz w:val="22"/>
          <w:szCs w:val="22"/>
          <w:lang w:val="en-GB"/>
        </w:rPr>
        <w:t xml:space="preserve"> </w:t>
      </w:r>
    </w:p>
    <w:p w14:paraId="2A10812A" w14:textId="77777777" w:rsidR="002E14AD" w:rsidRPr="00C93A3D" w:rsidRDefault="002E14AD" w:rsidP="000168EC">
      <w:pPr>
        <w:pStyle w:val="ListParagraph"/>
        <w:numPr>
          <w:ilvl w:val="1"/>
          <w:numId w:val="15"/>
        </w:numPr>
        <w:spacing w:line="276" w:lineRule="auto"/>
        <w:jc w:val="both"/>
        <w:outlineLvl w:val="0"/>
        <w:rPr>
          <w:rFonts w:ascii="Corbel" w:hAnsi="Corbel" w:cstheme="minorHAnsi"/>
          <w:sz w:val="22"/>
          <w:szCs w:val="22"/>
          <w:lang w:val="en-GB"/>
        </w:rPr>
      </w:pPr>
      <w:bookmarkStart w:id="160" w:name="_Toc103506695"/>
      <w:r>
        <w:rPr>
          <w:rFonts w:ascii="Corbel" w:hAnsi="Corbel" w:cstheme="minorHAnsi"/>
          <w:sz w:val="22"/>
          <w:szCs w:val="22"/>
          <w:lang w:val="en-GB"/>
        </w:rPr>
        <w:t>Morocco</w:t>
      </w:r>
      <w:r w:rsidRPr="0003093F">
        <w:rPr>
          <w:rFonts w:ascii="Corbel" w:hAnsi="Corbel" w:cstheme="minorHAnsi"/>
          <w:sz w:val="22"/>
          <w:szCs w:val="22"/>
          <w:lang w:val="en-GB"/>
        </w:rPr>
        <w:t xml:space="preserve"> decided to work on this initiative </w:t>
      </w:r>
      <w:r>
        <w:rPr>
          <w:rFonts w:ascii="Corbel" w:hAnsi="Corbel" w:cstheme="minorHAnsi"/>
          <w:sz w:val="22"/>
          <w:szCs w:val="22"/>
          <w:lang w:val="en-GB"/>
        </w:rPr>
        <w:t>upon</w:t>
      </w:r>
      <w:r w:rsidRPr="0003093F">
        <w:rPr>
          <w:rFonts w:ascii="Corbel" w:hAnsi="Corbel" w:cstheme="minorHAnsi"/>
          <w:sz w:val="22"/>
          <w:szCs w:val="22"/>
          <w:lang w:val="en-GB"/>
        </w:rPr>
        <w:t xml:space="preserve"> the completion of </w:t>
      </w:r>
      <w:r>
        <w:rPr>
          <w:rFonts w:ascii="Corbel" w:hAnsi="Corbel" w:cstheme="minorHAnsi"/>
          <w:sz w:val="22"/>
          <w:szCs w:val="22"/>
          <w:lang w:val="en-GB"/>
        </w:rPr>
        <w:t xml:space="preserve">above-mentioned </w:t>
      </w:r>
      <w:r w:rsidRPr="0003093F">
        <w:rPr>
          <w:rFonts w:ascii="Corbel" w:hAnsi="Corbel" w:cstheme="minorHAnsi"/>
          <w:sz w:val="22"/>
          <w:szCs w:val="22"/>
          <w:lang w:val="en-GB"/>
        </w:rPr>
        <w:t xml:space="preserve">the </w:t>
      </w:r>
      <w:r>
        <w:rPr>
          <w:rFonts w:ascii="Corbel" w:hAnsi="Corbel" w:cstheme="minorHAnsi"/>
          <w:sz w:val="22"/>
          <w:szCs w:val="22"/>
          <w:lang w:val="en-GB"/>
        </w:rPr>
        <w:t xml:space="preserve">Trade </w:t>
      </w:r>
      <w:r w:rsidRPr="0003093F">
        <w:rPr>
          <w:rFonts w:ascii="Corbel" w:hAnsi="Corbel" w:cstheme="minorHAnsi"/>
          <w:sz w:val="22"/>
          <w:szCs w:val="22"/>
          <w:lang w:val="en-GB"/>
        </w:rPr>
        <w:t xml:space="preserve">Service Policy Review (SPR) </w:t>
      </w:r>
      <w:r>
        <w:rPr>
          <w:rFonts w:ascii="Corbel" w:hAnsi="Corbel" w:cstheme="minorHAnsi"/>
          <w:sz w:val="22"/>
          <w:szCs w:val="22"/>
          <w:lang w:val="en-GB"/>
        </w:rPr>
        <w:t>in</w:t>
      </w:r>
      <w:r w:rsidRPr="0003093F">
        <w:rPr>
          <w:rFonts w:ascii="Corbel" w:hAnsi="Corbel" w:cstheme="minorHAnsi"/>
          <w:sz w:val="22"/>
          <w:szCs w:val="22"/>
          <w:lang w:val="en-GB"/>
        </w:rPr>
        <w:t xml:space="preserve"> three services sectors.</w:t>
      </w:r>
      <w:bookmarkEnd w:id="160"/>
    </w:p>
    <w:p w14:paraId="5637E94C" w14:textId="4AFACE7C" w:rsidR="002E14AD" w:rsidRPr="00177129" w:rsidRDefault="002E14AD" w:rsidP="000168EC">
      <w:pPr>
        <w:pStyle w:val="ListParagraph"/>
        <w:numPr>
          <w:ilvl w:val="0"/>
          <w:numId w:val="17"/>
        </w:numPr>
        <w:spacing w:line="276" w:lineRule="auto"/>
        <w:jc w:val="both"/>
        <w:outlineLvl w:val="0"/>
        <w:rPr>
          <w:rFonts w:ascii="Corbel" w:hAnsi="Corbel"/>
          <w:b/>
          <w:bCs/>
          <w:sz w:val="22"/>
          <w:szCs w:val="22"/>
          <w:lang w:val="en-GB"/>
        </w:rPr>
      </w:pPr>
      <w:bookmarkStart w:id="161" w:name="_Toc103506696"/>
      <w:r>
        <w:rPr>
          <w:rFonts w:ascii="Corbel" w:hAnsi="Corbel"/>
          <w:sz w:val="22"/>
          <w:szCs w:val="22"/>
          <w:lang w:val="en-GB"/>
        </w:rPr>
        <w:t>T</w:t>
      </w:r>
      <w:r w:rsidRPr="0003093F">
        <w:rPr>
          <w:rFonts w:ascii="Corbel" w:hAnsi="Corbel"/>
          <w:sz w:val="22"/>
          <w:szCs w:val="22"/>
          <w:lang w:val="en-GB"/>
        </w:rPr>
        <w:t xml:space="preserve">he project </w:t>
      </w:r>
      <w:r>
        <w:rPr>
          <w:rFonts w:ascii="Corbel" w:hAnsi="Corbel"/>
          <w:sz w:val="22"/>
          <w:szCs w:val="22"/>
          <w:lang w:val="en-GB"/>
        </w:rPr>
        <w:t>provided technical support to the State of Palestine in preparation of their</w:t>
      </w:r>
      <w:r w:rsidRPr="0003093F">
        <w:rPr>
          <w:rFonts w:ascii="Corbel" w:hAnsi="Corbel"/>
          <w:sz w:val="22"/>
          <w:szCs w:val="22"/>
          <w:lang w:val="en-GB"/>
        </w:rPr>
        <w:t xml:space="preserve"> offer to become </w:t>
      </w:r>
      <w:r w:rsidR="00457E6F" w:rsidRPr="0003093F">
        <w:rPr>
          <w:rFonts w:ascii="Corbel" w:hAnsi="Corbel"/>
          <w:sz w:val="22"/>
          <w:szCs w:val="22"/>
          <w:lang w:val="en-GB"/>
        </w:rPr>
        <w:t>a contracting</w:t>
      </w:r>
      <w:r w:rsidRPr="0003093F">
        <w:rPr>
          <w:rFonts w:ascii="Corbel" w:hAnsi="Corbel"/>
          <w:sz w:val="22"/>
          <w:szCs w:val="22"/>
          <w:lang w:val="en-GB"/>
        </w:rPr>
        <w:t xml:space="preserve"> party to the Arab </w:t>
      </w:r>
      <w:r w:rsidR="00363E06" w:rsidRPr="0003093F">
        <w:rPr>
          <w:rFonts w:ascii="Corbel" w:hAnsi="Corbel"/>
          <w:sz w:val="22"/>
          <w:szCs w:val="22"/>
          <w:lang w:val="en-GB"/>
        </w:rPr>
        <w:t>Agreement</w:t>
      </w:r>
      <w:r w:rsidRPr="0003093F">
        <w:rPr>
          <w:rFonts w:ascii="Corbel" w:hAnsi="Corbel"/>
          <w:sz w:val="22"/>
          <w:szCs w:val="22"/>
          <w:lang w:val="en-GB"/>
        </w:rPr>
        <w:t xml:space="preserve"> in Trade in Services in 2021</w:t>
      </w:r>
      <w:r>
        <w:rPr>
          <w:rFonts w:ascii="Corbel" w:hAnsi="Corbel"/>
          <w:sz w:val="22"/>
          <w:szCs w:val="22"/>
          <w:lang w:val="en-GB"/>
        </w:rPr>
        <w:t>, which culminated with the successful accession to the agreement</w:t>
      </w:r>
      <w:r w:rsidRPr="0003093F">
        <w:rPr>
          <w:rFonts w:ascii="Corbel" w:hAnsi="Corbel"/>
          <w:sz w:val="22"/>
          <w:szCs w:val="22"/>
          <w:lang w:val="en-GB"/>
        </w:rPr>
        <w:t>.</w:t>
      </w:r>
      <w:bookmarkEnd w:id="161"/>
      <w:r w:rsidRPr="0003093F">
        <w:rPr>
          <w:rFonts w:ascii="Corbel" w:hAnsi="Corbel"/>
          <w:sz w:val="22"/>
          <w:szCs w:val="22"/>
          <w:lang w:val="en-GB"/>
        </w:rPr>
        <w:t xml:space="preserve"> </w:t>
      </w:r>
    </w:p>
    <w:p w14:paraId="39FDE110" w14:textId="77777777" w:rsidR="002E14AD" w:rsidRPr="0003093F" w:rsidRDefault="002E14AD" w:rsidP="000168EC">
      <w:pPr>
        <w:pStyle w:val="ListParagraph"/>
        <w:numPr>
          <w:ilvl w:val="0"/>
          <w:numId w:val="17"/>
        </w:numPr>
        <w:spacing w:line="276" w:lineRule="auto"/>
        <w:jc w:val="both"/>
        <w:outlineLvl w:val="0"/>
        <w:rPr>
          <w:rFonts w:ascii="Corbel" w:hAnsi="Corbel"/>
          <w:b/>
          <w:bCs/>
          <w:sz w:val="22"/>
          <w:szCs w:val="22"/>
          <w:lang w:val="en-GB"/>
        </w:rPr>
      </w:pPr>
      <w:bookmarkStart w:id="162" w:name="_Toc103506697"/>
      <w:r>
        <w:rPr>
          <w:rFonts w:ascii="Corbel" w:hAnsi="Corbel"/>
          <w:sz w:val="22"/>
          <w:szCs w:val="22"/>
          <w:lang w:val="en-GB"/>
        </w:rPr>
        <w:t>The project supported</w:t>
      </w:r>
      <w:r w:rsidRPr="00177129">
        <w:rPr>
          <w:rFonts w:ascii="Corbel" w:hAnsi="Corbel"/>
          <w:sz w:val="22"/>
          <w:szCs w:val="22"/>
          <w:lang w:val="en-GB"/>
        </w:rPr>
        <w:t xml:space="preserve"> the Ministry of Economy and Trade of Lebanon to develop the Roadmap of Export Promotion of Lebanon</w:t>
      </w:r>
      <w:r>
        <w:rPr>
          <w:rFonts w:ascii="Corbel" w:hAnsi="Corbel"/>
          <w:sz w:val="22"/>
          <w:szCs w:val="22"/>
          <w:lang w:val="en-GB"/>
        </w:rPr>
        <w:t xml:space="preserve">, </w:t>
      </w:r>
      <w:r w:rsidRPr="00177129">
        <w:rPr>
          <w:rFonts w:ascii="Corbel" w:hAnsi="Corbel"/>
          <w:sz w:val="22"/>
          <w:szCs w:val="22"/>
          <w:lang w:val="en-GB"/>
        </w:rPr>
        <w:t xml:space="preserve">inclusive of a monitoring mechanism. </w:t>
      </w:r>
      <w:r>
        <w:rPr>
          <w:rFonts w:ascii="Corbel" w:hAnsi="Corbel"/>
          <w:sz w:val="22"/>
          <w:szCs w:val="22"/>
          <w:lang w:val="en-GB"/>
        </w:rPr>
        <w:t>The reform is a key element of the</w:t>
      </w:r>
      <w:r w:rsidRPr="00177129">
        <w:rPr>
          <w:rFonts w:ascii="Corbel" w:hAnsi="Corbel"/>
          <w:sz w:val="22"/>
          <w:szCs w:val="22"/>
          <w:lang w:val="en-GB"/>
        </w:rPr>
        <w:t xml:space="preserve"> Reform-Recovery-Reconstruction</w:t>
      </w:r>
      <w:r>
        <w:rPr>
          <w:rFonts w:ascii="Corbel" w:hAnsi="Corbel"/>
          <w:sz w:val="22"/>
          <w:szCs w:val="22"/>
          <w:lang w:val="en-GB"/>
        </w:rPr>
        <w:t xml:space="preserve"> initiative</w:t>
      </w:r>
      <w:r w:rsidRPr="00177129">
        <w:rPr>
          <w:rFonts w:ascii="Corbel" w:hAnsi="Corbel"/>
          <w:sz w:val="22"/>
          <w:szCs w:val="22"/>
          <w:lang w:val="en-GB"/>
        </w:rPr>
        <w:t xml:space="preserve">, initiated by UNDP, </w:t>
      </w:r>
      <w:r>
        <w:rPr>
          <w:rFonts w:ascii="Corbel" w:hAnsi="Corbel"/>
          <w:sz w:val="22"/>
          <w:szCs w:val="22"/>
          <w:lang w:val="en-GB"/>
        </w:rPr>
        <w:t>the European Union,</w:t>
      </w:r>
      <w:r w:rsidRPr="00177129">
        <w:rPr>
          <w:rFonts w:ascii="Corbel" w:hAnsi="Corbel"/>
          <w:sz w:val="22"/>
          <w:szCs w:val="22"/>
          <w:lang w:val="en-GB"/>
        </w:rPr>
        <w:t xml:space="preserve"> and the World Bank</w:t>
      </w:r>
      <w:r>
        <w:rPr>
          <w:rFonts w:ascii="Corbel" w:hAnsi="Corbel"/>
          <w:sz w:val="22"/>
          <w:szCs w:val="22"/>
          <w:lang w:val="en-GB"/>
        </w:rPr>
        <w:t xml:space="preserve"> in the aftermath of the explosion in the Beirut port in August 2020.</w:t>
      </w:r>
      <w:bookmarkEnd w:id="162"/>
    </w:p>
    <w:p w14:paraId="5BAFF9E1" w14:textId="77777777" w:rsidR="002E14AD" w:rsidRDefault="002E14AD" w:rsidP="002E14AD">
      <w:pPr>
        <w:spacing w:line="276" w:lineRule="auto"/>
        <w:jc w:val="both"/>
        <w:rPr>
          <w:rFonts w:ascii="Corbel" w:hAnsi="Corbel" w:cstheme="minorHAnsi"/>
          <w:sz w:val="22"/>
          <w:szCs w:val="22"/>
          <w:lang w:val="en-GB"/>
        </w:rPr>
      </w:pPr>
    </w:p>
    <w:p w14:paraId="09120921" w14:textId="52FA86B5" w:rsidR="002E14AD" w:rsidRPr="00262F9B" w:rsidRDefault="002E14AD" w:rsidP="4F6DD0A6">
      <w:pPr>
        <w:spacing w:line="276" w:lineRule="auto"/>
        <w:jc w:val="both"/>
        <w:rPr>
          <w:rFonts w:ascii="Corbel" w:eastAsiaTheme="minorEastAsia" w:hAnsi="Corbel" w:cs="Arial"/>
          <w:sz w:val="22"/>
          <w:szCs w:val="22"/>
          <w:lang w:val="en-GB" w:eastAsia="en-US"/>
        </w:rPr>
      </w:pPr>
      <w:r w:rsidRPr="4F6DD0A6">
        <w:rPr>
          <w:rFonts w:ascii="Corbel" w:hAnsi="Corbel" w:cstheme="minorBidi"/>
          <w:sz w:val="22"/>
          <w:szCs w:val="22"/>
          <w:lang w:val="en-GB"/>
        </w:rPr>
        <w:t xml:space="preserve">In 2021, during the last year of implementation, the project, in consultation with </w:t>
      </w:r>
      <w:proofErr w:type="spellStart"/>
      <w:r w:rsidRPr="4F6DD0A6">
        <w:rPr>
          <w:rFonts w:ascii="Corbel" w:hAnsi="Corbel" w:cstheme="minorBidi"/>
          <w:sz w:val="22"/>
          <w:szCs w:val="22"/>
          <w:lang w:val="en-GB"/>
        </w:rPr>
        <w:t>Sida</w:t>
      </w:r>
      <w:proofErr w:type="spellEnd"/>
      <w:r w:rsidRPr="4F6DD0A6">
        <w:rPr>
          <w:rFonts w:ascii="Corbel" w:hAnsi="Corbel" w:cstheme="minorBidi"/>
          <w:sz w:val="22"/>
          <w:szCs w:val="22"/>
          <w:lang w:val="en-GB"/>
        </w:rPr>
        <w:t xml:space="preserve">, decided to complement its upstream policy making activities, piloting downstream support to access export opportunities for Small </w:t>
      </w:r>
      <w:r w:rsidRPr="4F6DD0A6">
        <w:rPr>
          <w:rFonts w:ascii="Corbel" w:hAnsi="Corbel" w:cstheme="minorBidi"/>
          <w:sz w:val="22"/>
          <w:szCs w:val="22"/>
          <w:lang w:val="en-GB"/>
        </w:rPr>
        <w:lastRenderedPageBreak/>
        <w:t xml:space="preserve">and Medium </w:t>
      </w:r>
      <w:r w:rsidR="00457E6F" w:rsidRPr="4F6DD0A6">
        <w:rPr>
          <w:rFonts w:ascii="Corbel" w:hAnsi="Corbel" w:cstheme="minorBidi"/>
          <w:sz w:val="22"/>
          <w:szCs w:val="22"/>
          <w:lang w:val="en-GB"/>
        </w:rPr>
        <w:t>Enterprises</w:t>
      </w:r>
      <w:r w:rsidRPr="4F6DD0A6">
        <w:rPr>
          <w:rFonts w:ascii="Corbel" w:hAnsi="Corbel" w:cstheme="minorBidi"/>
          <w:sz w:val="22"/>
          <w:szCs w:val="22"/>
          <w:lang w:val="en-GB"/>
        </w:rPr>
        <w:t xml:space="preserve"> (SMEs) in Lebanon and women-led argan oil cooperatives in the South to Morocco. </w:t>
      </w:r>
      <w:r w:rsidR="00F26D66" w:rsidRPr="4F6DD0A6">
        <w:rPr>
          <w:rFonts w:ascii="Corbel" w:hAnsi="Corbel" w:cstheme="minorBidi"/>
          <w:sz w:val="22"/>
          <w:szCs w:val="22"/>
          <w:lang w:val="en-GB"/>
        </w:rPr>
        <w:t xml:space="preserve">In </w:t>
      </w:r>
      <w:r w:rsidR="007E5674" w:rsidRPr="4F6DD0A6">
        <w:rPr>
          <w:rFonts w:ascii="Corbel" w:hAnsi="Corbel" w:cstheme="minorBidi"/>
          <w:sz w:val="22"/>
          <w:szCs w:val="22"/>
          <w:lang w:val="en-GB"/>
        </w:rPr>
        <w:t xml:space="preserve">partnership with Fair Trade Lebanon, an organisation experienced in promoting </w:t>
      </w:r>
      <w:r w:rsidR="00593C6C" w:rsidRPr="4F6DD0A6">
        <w:rPr>
          <w:rFonts w:ascii="Corbel" w:hAnsi="Corbel" w:cstheme="minorBidi"/>
          <w:sz w:val="22"/>
          <w:szCs w:val="22"/>
          <w:lang w:val="en-GB"/>
        </w:rPr>
        <w:t xml:space="preserve">local products from Arab countries, </w:t>
      </w:r>
      <w:r w:rsidR="00FC2AA5" w:rsidRPr="4F6DD0A6">
        <w:rPr>
          <w:rFonts w:ascii="Corbel" w:hAnsi="Corbel" w:cstheme="minorBidi"/>
          <w:sz w:val="22"/>
          <w:szCs w:val="22"/>
          <w:lang w:val="en-GB"/>
        </w:rPr>
        <w:t xml:space="preserve">the pilot supported </w:t>
      </w:r>
      <w:r w:rsidR="00777546" w:rsidRPr="4F6DD0A6">
        <w:rPr>
          <w:rFonts w:ascii="Corbel" w:hAnsi="Corbel" w:cstheme="minorBidi"/>
          <w:sz w:val="22"/>
          <w:szCs w:val="22"/>
          <w:lang w:val="en-GB"/>
        </w:rPr>
        <w:t xml:space="preserve">access to the US market for </w:t>
      </w:r>
      <w:r w:rsidR="00FC2AA5" w:rsidRPr="4F6DD0A6">
        <w:rPr>
          <w:rFonts w:ascii="Corbel" w:hAnsi="Corbel" w:cstheme="minorBidi"/>
          <w:sz w:val="22"/>
          <w:szCs w:val="22"/>
          <w:lang w:val="en-GB"/>
        </w:rPr>
        <w:t xml:space="preserve">eighteen Lebanese SMEs </w:t>
      </w:r>
      <w:r w:rsidR="00B226D9" w:rsidRPr="4F6DD0A6">
        <w:rPr>
          <w:rFonts w:ascii="Corbel" w:hAnsi="Corbel" w:cstheme="minorBidi"/>
          <w:sz w:val="22"/>
          <w:szCs w:val="22"/>
          <w:lang w:val="en-GB"/>
        </w:rPr>
        <w:t xml:space="preserve">producing </w:t>
      </w:r>
      <w:proofErr w:type="spellStart"/>
      <w:r w:rsidR="00B226D9" w:rsidRPr="4F6DD0A6">
        <w:rPr>
          <w:rFonts w:ascii="Corbel" w:hAnsi="Corbel" w:cstheme="minorBidi"/>
          <w:sz w:val="22"/>
          <w:szCs w:val="22"/>
          <w:lang w:val="en-GB"/>
        </w:rPr>
        <w:t>agro</w:t>
      </w:r>
      <w:proofErr w:type="spellEnd"/>
      <w:r w:rsidR="00B226D9" w:rsidRPr="4F6DD0A6">
        <w:rPr>
          <w:rFonts w:ascii="Corbel" w:hAnsi="Corbel" w:cstheme="minorBidi"/>
          <w:sz w:val="22"/>
          <w:szCs w:val="22"/>
          <w:lang w:val="en-GB"/>
        </w:rPr>
        <w:t xml:space="preserve">-food goods and </w:t>
      </w:r>
      <w:r w:rsidR="008862EE" w:rsidRPr="4F6DD0A6">
        <w:rPr>
          <w:rFonts w:ascii="Corbel" w:hAnsi="Corbel" w:cstheme="minorBidi"/>
          <w:sz w:val="22"/>
          <w:szCs w:val="22"/>
          <w:lang w:val="en-GB"/>
        </w:rPr>
        <w:t xml:space="preserve">sixteen Moroccan </w:t>
      </w:r>
      <w:r w:rsidR="00457E6F" w:rsidRPr="4F6DD0A6">
        <w:rPr>
          <w:rFonts w:ascii="Corbel" w:hAnsi="Corbel" w:cstheme="minorBidi"/>
          <w:sz w:val="22"/>
          <w:szCs w:val="22"/>
          <w:lang w:val="en-GB"/>
        </w:rPr>
        <w:t>cooperatives</w:t>
      </w:r>
      <w:r w:rsidR="008862EE" w:rsidRPr="4F6DD0A6">
        <w:rPr>
          <w:rFonts w:ascii="Corbel" w:hAnsi="Corbel" w:cstheme="minorBidi"/>
          <w:sz w:val="22"/>
          <w:szCs w:val="22"/>
          <w:lang w:val="en-GB"/>
        </w:rPr>
        <w:t xml:space="preserve"> producing argan oil </w:t>
      </w:r>
      <w:r w:rsidR="00777546" w:rsidRPr="4F6DD0A6">
        <w:rPr>
          <w:rFonts w:ascii="Corbel" w:hAnsi="Corbel" w:cstheme="minorBidi"/>
          <w:sz w:val="22"/>
          <w:szCs w:val="22"/>
          <w:lang w:val="en-GB"/>
        </w:rPr>
        <w:t xml:space="preserve">derivates. </w:t>
      </w:r>
      <w:r w:rsidR="00734055" w:rsidRPr="4F6DD0A6">
        <w:rPr>
          <w:rFonts w:ascii="Corbel" w:hAnsi="Corbel" w:cstheme="minorBidi"/>
          <w:sz w:val="22"/>
          <w:szCs w:val="22"/>
          <w:lang w:val="en-GB"/>
        </w:rPr>
        <w:t>A</w:t>
      </w:r>
      <w:r w:rsidR="0013623F" w:rsidRPr="4F6DD0A6">
        <w:rPr>
          <w:rFonts w:ascii="Corbel" w:hAnsi="Corbel" w:cstheme="minorBidi"/>
          <w:sz w:val="22"/>
          <w:szCs w:val="22"/>
          <w:lang w:val="en-GB"/>
        </w:rPr>
        <w:t>ll companies benefited from capacity development activities</w:t>
      </w:r>
      <w:r w:rsidR="00E71542" w:rsidRPr="4F6DD0A6">
        <w:rPr>
          <w:rFonts w:ascii="Corbel" w:hAnsi="Corbel" w:cstheme="minorBidi"/>
          <w:sz w:val="22"/>
          <w:szCs w:val="22"/>
          <w:lang w:val="en-GB"/>
        </w:rPr>
        <w:t xml:space="preserve"> </w:t>
      </w:r>
      <w:r w:rsidR="00655564" w:rsidRPr="4F6DD0A6">
        <w:rPr>
          <w:rFonts w:ascii="Corbel" w:hAnsi="Corbel" w:cstheme="minorBidi"/>
          <w:sz w:val="22"/>
          <w:szCs w:val="22"/>
          <w:lang w:val="en-GB"/>
        </w:rPr>
        <w:t xml:space="preserve">tailored to their needs </w:t>
      </w:r>
      <w:r w:rsidR="00E71542" w:rsidRPr="4F6DD0A6">
        <w:rPr>
          <w:rFonts w:ascii="Corbel" w:hAnsi="Corbel" w:cstheme="minorBidi"/>
          <w:sz w:val="22"/>
          <w:szCs w:val="22"/>
          <w:lang w:val="en-GB"/>
        </w:rPr>
        <w:t>in terms of understanding the US market requirements in their sector</w:t>
      </w:r>
      <w:r w:rsidR="0013623F" w:rsidRPr="4F6DD0A6">
        <w:rPr>
          <w:rFonts w:ascii="Corbel" w:hAnsi="Corbel" w:cstheme="minorBidi"/>
          <w:sz w:val="22"/>
          <w:szCs w:val="22"/>
          <w:lang w:val="en-GB"/>
        </w:rPr>
        <w:t>,</w:t>
      </w:r>
      <w:r w:rsidR="00E71542" w:rsidRPr="4F6DD0A6">
        <w:rPr>
          <w:rFonts w:ascii="Corbel" w:hAnsi="Corbel" w:cstheme="minorBidi"/>
          <w:sz w:val="22"/>
          <w:szCs w:val="22"/>
          <w:lang w:val="en-GB"/>
        </w:rPr>
        <w:t xml:space="preserve"> the preparation of a communication plan for their products, </w:t>
      </w:r>
      <w:r w:rsidR="00A51F7D" w:rsidRPr="4F6DD0A6">
        <w:rPr>
          <w:rFonts w:ascii="Corbel" w:hAnsi="Corbel" w:cstheme="minorBidi"/>
          <w:sz w:val="22"/>
          <w:szCs w:val="22"/>
          <w:lang w:val="en-GB"/>
        </w:rPr>
        <w:t>marketing support</w:t>
      </w:r>
      <w:r w:rsidR="00743CC0" w:rsidRPr="4F6DD0A6">
        <w:rPr>
          <w:rFonts w:ascii="Corbel" w:hAnsi="Corbel" w:cstheme="minorBidi"/>
          <w:sz w:val="22"/>
          <w:szCs w:val="22"/>
          <w:lang w:val="en-GB"/>
        </w:rPr>
        <w:t>, product innovation</w:t>
      </w:r>
      <w:r w:rsidR="006D6A5D" w:rsidRPr="4F6DD0A6">
        <w:rPr>
          <w:rFonts w:ascii="Corbel" w:hAnsi="Corbel" w:cstheme="minorBidi"/>
          <w:sz w:val="22"/>
          <w:szCs w:val="22"/>
          <w:lang w:val="en-GB"/>
        </w:rPr>
        <w:t>,</w:t>
      </w:r>
      <w:r w:rsidR="00A51F7D" w:rsidRPr="4F6DD0A6">
        <w:rPr>
          <w:rFonts w:ascii="Corbel" w:hAnsi="Corbel" w:cstheme="minorBidi"/>
          <w:sz w:val="22"/>
          <w:szCs w:val="22"/>
          <w:lang w:val="en-GB"/>
        </w:rPr>
        <w:t xml:space="preserve"> and labelling. </w:t>
      </w:r>
      <w:r w:rsidR="0073362A" w:rsidRPr="4F6DD0A6">
        <w:rPr>
          <w:rFonts w:ascii="Corbel" w:hAnsi="Corbel" w:cstheme="minorBidi"/>
          <w:sz w:val="22"/>
          <w:szCs w:val="22"/>
          <w:lang w:val="en-GB"/>
        </w:rPr>
        <w:t>B</w:t>
      </w:r>
      <w:r w:rsidR="0013623F" w:rsidRPr="4F6DD0A6">
        <w:rPr>
          <w:rFonts w:ascii="Corbel" w:hAnsi="Corbel" w:cstheme="minorBidi"/>
          <w:sz w:val="22"/>
          <w:szCs w:val="22"/>
          <w:lang w:val="en-GB"/>
        </w:rPr>
        <w:t>y the end of the pilot</w:t>
      </w:r>
      <w:r w:rsidR="0073362A" w:rsidRPr="4F6DD0A6">
        <w:rPr>
          <w:rFonts w:ascii="Corbel" w:hAnsi="Corbel" w:cstheme="minorBidi"/>
          <w:sz w:val="22"/>
          <w:szCs w:val="22"/>
          <w:lang w:val="en-GB"/>
        </w:rPr>
        <w:t xml:space="preserve">, the Lebanese SMEs </w:t>
      </w:r>
      <w:r w:rsidR="00655564" w:rsidRPr="4F6DD0A6">
        <w:rPr>
          <w:rFonts w:ascii="Corbel" w:hAnsi="Corbel" w:cstheme="minorBidi"/>
          <w:sz w:val="22"/>
          <w:szCs w:val="22"/>
          <w:lang w:val="en-GB"/>
        </w:rPr>
        <w:t xml:space="preserve">also received </w:t>
      </w:r>
      <w:r w:rsidR="00AF141B" w:rsidRPr="4F6DD0A6">
        <w:rPr>
          <w:rFonts w:ascii="Corbel" w:hAnsi="Corbel" w:cstheme="minorBidi"/>
          <w:sz w:val="22"/>
          <w:szCs w:val="22"/>
          <w:lang w:val="en-GB"/>
        </w:rPr>
        <w:t>logistical support to ship their products to the US. As</w:t>
      </w:r>
      <w:r w:rsidR="0013623F" w:rsidRPr="4F6DD0A6">
        <w:rPr>
          <w:rFonts w:ascii="Corbel" w:hAnsi="Corbel" w:cstheme="minorBidi"/>
          <w:sz w:val="22"/>
          <w:szCs w:val="22"/>
          <w:lang w:val="en-GB"/>
        </w:rPr>
        <w:t xml:space="preserve"> only three Moroccan cooperatives were deemed export-ready, based on </w:t>
      </w:r>
      <w:r w:rsidR="00EF22FF" w:rsidRPr="4F6DD0A6">
        <w:rPr>
          <w:rFonts w:ascii="Corbel" w:hAnsi="Corbel" w:cstheme="minorBidi"/>
          <w:sz w:val="22"/>
          <w:szCs w:val="22"/>
          <w:lang w:val="en-GB"/>
        </w:rPr>
        <w:t>the availability of the necessary l</w:t>
      </w:r>
      <w:r w:rsidR="0089241A" w:rsidRPr="4F6DD0A6">
        <w:rPr>
          <w:rFonts w:ascii="Corbel" w:hAnsi="Corbel" w:cstheme="minorBidi"/>
          <w:sz w:val="22"/>
          <w:szCs w:val="22"/>
          <w:lang w:val="en-GB"/>
        </w:rPr>
        <w:t xml:space="preserve">icences and </w:t>
      </w:r>
      <w:r w:rsidR="00D83BAC" w:rsidRPr="4F6DD0A6">
        <w:rPr>
          <w:rFonts w:ascii="Corbel" w:hAnsi="Corbel" w:cstheme="minorBidi"/>
          <w:sz w:val="22"/>
          <w:szCs w:val="22"/>
          <w:lang w:val="en-GB"/>
        </w:rPr>
        <w:t>certificates</w:t>
      </w:r>
      <w:r w:rsidR="00AF141B" w:rsidRPr="4F6DD0A6">
        <w:rPr>
          <w:rFonts w:ascii="Corbel" w:hAnsi="Corbel" w:cstheme="minorBidi"/>
          <w:sz w:val="22"/>
          <w:szCs w:val="22"/>
          <w:lang w:val="en-GB"/>
        </w:rPr>
        <w:t xml:space="preserve">, an e-market place was developed </w:t>
      </w:r>
      <w:r w:rsidR="006D6A5D" w:rsidRPr="4F6DD0A6">
        <w:rPr>
          <w:rFonts w:ascii="Corbel" w:hAnsi="Corbel" w:cstheme="minorBidi"/>
          <w:sz w:val="22"/>
          <w:szCs w:val="22"/>
          <w:lang w:val="en-GB"/>
        </w:rPr>
        <w:t xml:space="preserve">to help them </w:t>
      </w:r>
      <w:r w:rsidR="003B2D1A">
        <w:rPr>
          <w:rFonts w:ascii="Corbel" w:hAnsi="Corbel" w:cstheme="minorBidi"/>
          <w:sz w:val="22"/>
          <w:szCs w:val="22"/>
          <w:lang w:val="en-GB"/>
        </w:rPr>
        <w:t>promote</w:t>
      </w:r>
      <w:r w:rsidR="006D6A5D" w:rsidRPr="4F6DD0A6">
        <w:rPr>
          <w:rFonts w:ascii="Corbel" w:hAnsi="Corbel" w:cstheme="minorBidi"/>
          <w:sz w:val="22"/>
          <w:szCs w:val="22"/>
          <w:lang w:val="en-GB"/>
        </w:rPr>
        <w:t xml:space="preserve"> their products while the rest of the requirements are attained</w:t>
      </w:r>
      <w:r w:rsidR="00734055" w:rsidRPr="4F6DD0A6">
        <w:rPr>
          <w:rFonts w:ascii="Corbel" w:hAnsi="Corbel" w:cstheme="minorBidi"/>
          <w:sz w:val="22"/>
          <w:szCs w:val="22"/>
          <w:lang w:val="en-GB"/>
        </w:rPr>
        <w:t>.</w:t>
      </w:r>
      <w:r w:rsidR="006D6A5D" w:rsidRPr="4F6DD0A6">
        <w:rPr>
          <w:rFonts w:ascii="Corbel" w:hAnsi="Corbel" w:cstheme="minorBidi"/>
          <w:sz w:val="22"/>
          <w:szCs w:val="22"/>
          <w:lang w:val="en-GB"/>
        </w:rPr>
        <w:t xml:space="preserve"> Additional details on the pilot are available in Annex </w:t>
      </w:r>
      <w:r w:rsidR="00F45EEA">
        <w:rPr>
          <w:rFonts w:ascii="Corbel" w:hAnsi="Corbel" w:cstheme="minorBidi"/>
          <w:sz w:val="22"/>
          <w:szCs w:val="22"/>
          <w:lang w:val="en-GB"/>
        </w:rPr>
        <w:t>4</w:t>
      </w:r>
      <w:r w:rsidR="006D6A5D" w:rsidRPr="4F6DD0A6">
        <w:rPr>
          <w:rFonts w:ascii="Corbel" w:hAnsi="Corbel" w:cstheme="minorBidi"/>
          <w:sz w:val="22"/>
          <w:szCs w:val="22"/>
          <w:lang w:val="en-GB"/>
        </w:rPr>
        <w:t>.</w:t>
      </w:r>
    </w:p>
    <w:p w14:paraId="4EE645C6" w14:textId="77777777" w:rsidR="002E14AD" w:rsidRPr="00D2664E" w:rsidRDefault="002E14AD" w:rsidP="0056537C">
      <w:pPr>
        <w:spacing w:line="276" w:lineRule="auto"/>
        <w:jc w:val="both"/>
        <w:outlineLvl w:val="0"/>
        <w:rPr>
          <w:rFonts w:ascii="Corbel" w:hAnsi="Corbel"/>
          <w:sz w:val="21"/>
          <w:szCs w:val="21"/>
          <w:lang w:val="en-GB"/>
        </w:rPr>
      </w:pPr>
    </w:p>
    <w:tbl>
      <w:tblPr>
        <w:tblW w:w="10055" w:type="dxa"/>
        <w:jc w:val="center"/>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Look w:val="04A0" w:firstRow="1" w:lastRow="0" w:firstColumn="1" w:lastColumn="0" w:noHBand="0" w:noVBand="1"/>
      </w:tblPr>
      <w:tblGrid>
        <w:gridCol w:w="2997"/>
        <w:gridCol w:w="2880"/>
        <w:gridCol w:w="4178"/>
      </w:tblGrid>
      <w:tr w:rsidR="0056537C" w:rsidRPr="0003093F" w14:paraId="74157396" w14:textId="77777777" w:rsidTr="4F6DD0A6">
        <w:trPr>
          <w:trHeight w:val="412"/>
          <w:jc w:val="center"/>
        </w:trPr>
        <w:tc>
          <w:tcPr>
            <w:tcW w:w="10055" w:type="dxa"/>
            <w:gridSpan w:val="3"/>
            <w:shd w:val="clear" w:color="auto" w:fill="0070C0"/>
          </w:tcPr>
          <w:p w14:paraId="03B5E4C1" w14:textId="4BA0DB80" w:rsidR="0056537C" w:rsidRPr="0003093F" w:rsidRDefault="0056537C" w:rsidP="000B6C7A">
            <w:pPr>
              <w:rPr>
                <w:rFonts w:ascii="Corbel" w:eastAsia="Times New Roman" w:hAnsi="Corbel"/>
                <w:color w:val="000000"/>
                <w:sz w:val="21"/>
                <w:szCs w:val="21"/>
                <w:lang w:val="en-GB"/>
              </w:rPr>
            </w:pPr>
            <w:bookmarkStart w:id="163" w:name="_Hlk102826751"/>
            <w:r w:rsidRPr="0003093F">
              <w:rPr>
                <w:rFonts w:ascii="Corbel" w:hAnsi="Corbel" w:cs="Arial"/>
                <w:b/>
                <w:color w:val="FFFFFF"/>
                <w:sz w:val="21"/>
                <w:szCs w:val="21"/>
                <w:lang w:val="en-GB" w:eastAsia="en-US"/>
              </w:rPr>
              <w:t xml:space="preserve">Project Output 3: </w:t>
            </w:r>
            <w:r w:rsidRPr="0003093F">
              <w:rPr>
                <w:rFonts w:ascii="Corbel" w:hAnsi="Corbel" w:cs="Arial"/>
                <w:b/>
                <w:bCs/>
                <w:color w:val="FFFFFF"/>
                <w:sz w:val="21"/>
                <w:szCs w:val="21"/>
                <w:lang w:val="en-GB" w:eastAsia="en-US"/>
              </w:rPr>
              <w:t xml:space="preserve">Provision of country based technical assistance to </w:t>
            </w:r>
            <w:r w:rsidR="00457E6F" w:rsidRPr="0003093F">
              <w:rPr>
                <w:rFonts w:ascii="Corbel" w:hAnsi="Corbel" w:cs="Arial"/>
                <w:b/>
                <w:bCs/>
                <w:color w:val="FFFFFF"/>
                <w:sz w:val="21"/>
                <w:szCs w:val="21"/>
                <w:lang w:val="en-GB" w:eastAsia="en-US"/>
              </w:rPr>
              <w:t>policymakers</w:t>
            </w:r>
            <w:r w:rsidRPr="0003093F">
              <w:rPr>
                <w:rFonts w:ascii="Corbel" w:hAnsi="Corbel" w:cs="Arial"/>
                <w:b/>
                <w:bCs/>
                <w:color w:val="FFFFFF"/>
                <w:sz w:val="21"/>
                <w:szCs w:val="21"/>
                <w:lang w:val="en-GB" w:eastAsia="en-US"/>
              </w:rPr>
              <w:t xml:space="preserve"> for their activities related to trade policy reform and coherence </w:t>
            </w:r>
            <w:bookmarkEnd w:id="163"/>
          </w:p>
        </w:tc>
      </w:tr>
      <w:tr w:rsidR="0056537C" w:rsidRPr="0003093F" w14:paraId="729BFD18" w14:textId="77777777" w:rsidTr="4F6DD0A6">
        <w:trPr>
          <w:trHeight w:val="412"/>
          <w:jc w:val="center"/>
        </w:trPr>
        <w:tc>
          <w:tcPr>
            <w:tcW w:w="2997" w:type="dxa"/>
            <w:shd w:val="clear" w:color="auto" w:fill="auto"/>
          </w:tcPr>
          <w:p w14:paraId="01ABC996" w14:textId="390A4C62" w:rsidR="0056537C" w:rsidRPr="0003093F" w:rsidRDefault="0056537C" w:rsidP="00112082">
            <w:pPr>
              <w:widowControl w:val="0"/>
              <w:spacing w:line="288" w:lineRule="auto"/>
              <w:ind w:left="99"/>
              <w:contextualSpacing/>
              <w:outlineLvl w:val="0"/>
              <w:rPr>
                <w:rFonts w:ascii="Corbel" w:eastAsia="Times New Roman" w:hAnsi="Corbel" w:cs="Arial"/>
                <w:b/>
                <w:sz w:val="21"/>
                <w:szCs w:val="21"/>
                <w:lang w:val="en-GB" w:eastAsia="en-US"/>
              </w:rPr>
            </w:pPr>
            <w:bookmarkStart w:id="164" w:name="_Toc103506698"/>
            <w:r w:rsidRPr="0003093F">
              <w:rPr>
                <w:rFonts w:ascii="Corbel" w:eastAsia="Times New Roman" w:hAnsi="Corbel" w:cs="Arial"/>
                <w:b/>
                <w:sz w:val="21"/>
                <w:szCs w:val="21"/>
                <w:lang w:val="en-GB" w:eastAsia="en-US"/>
              </w:rPr>
              <w:t>Output indicators</w:t>
            </w:r>
            <w:bookmarkEnd w:id="164"/>
          </w:p>
        </w:tc>
        <w:tc>
          <w:tcPr>
            <w:tcW w:w="2880" w:type="dxa"/>
            <w:shd w:val="clear" w:color="auto" w:fill="auto"/>
          </w:tcPr>
          <w:p w14:paraId="3661355E" w14:textId="6927B187" w:rsidR="0056537C" w:rsidRPr="0003093F" w:rsidRDefault="008C0BF1" w:rsidP="000B6C7A">
            <w:pPr>
              <w:widowControl w:val="0"/>
              <w:spacing w:line="288" w:lineRule="auto"/>
              <w:ind w:left="99"/>
              <w:contextualSpacing/>
              <w:outlineLvl w:val="0"/>
              <w:rPr>
                <w:rFonts w:ascii="Corbel" w:eastAsia="Times New Roman" w:hAnsi="Corbel" w:cs="Arial"/>
                <w:b/>
                <w:sz w:val="21"/>
                <w:szCs w:val="21"/>
                <w:lang w:val="en-GB" w:eastAsia="en-US"/>
              </w:rPr>
            </w:pPr>
            <w:bookmarkStart w:id="165" w:name="_Toc103506699"/>
            <w:r w:rsidRPr="0003093F">
              <w:rPr>
                <w:rFonts w:ascii="Corbel" w:eastAsia="Times New Roman" w:hAnsi="Corbel" w:cs="Arial"/>
                <w:b/>
                <w:sz w:val="21"/>
                <w:szCs w:val="21"/>
                <w:lang w:val="en-GB" w:eastAsia="en-US"/>
              </w:rPr>
              <w:t xml:space="preserve">Baselines &amp; </w:t>
            </w:r>
            <w:r w:rsidR="0056537C" w:rsidRPr="0003093F">
              <w:rPr>
                <w:rFonts w:ascii="Corbel" w:eastAsia="Times New Roman" w:hAnsi="Corbel" w:cs="Arial"/>
                <w:b/>
                <w:sz w:val="21"/>
                <w:szCs w:val="21"/>
                <w:lang w:val="en-GB" w:eastAsia="en-US"/>
              </w:rPr>
              <w:t>Targets</w:t>
            </w:r>
            <w:bookmarkEnd w:id="165"/>
            <w:r w:rsidR="0056537C" w:rsidRPr="0003093F">
              <w:rPr>
                <w:rFonts w:ascii="Corbel" w:eastAsia="Times New Roman" w:hAnsi="Corbel" w:cs="Arial"/>
                <w:b/>
                <w:sz w:val="21"/>
                <w:szCs w:val="21"/>
                <w:lang w:val="en-GB" w:eastAsia="en-US"/>
              </w:rPr>
              <w:t xml:space="preserve"> </w:t>
            </w:r>
          </w:p>
        </w:tc>
        <w:tc>
          <w:tcPr>
            <w:tcW w:w="4178" w:type="dxa"/>
            <w:shd w:val="clear" w:color="auto" w:fill="auto"/>
          </w:tcPr>
          <w:p w14:paraId="4A4921A1" w14:textId="77777777" w:rsidR="0056537C" w:rsidRPr="0003093F" w:rsidRDefault="0056537C" w:rsidP="000B6C7A">
            <w:pPr>
              <w:widowControl w:val="0"/>
              <w:spacing w:line="288" w:lineRule="auto"/>
              <w:ind w:left="99"/>
              <w:contextualSpacing/>
              <w:outlineLvl w:val="0"/>
              <w:rPr>
                <w:rFonts w:ascii="Corbel" w:eastAsia="Times New Roman" w:hAnsi="Corbel" w:cs="Arial"/>
                <w:b/>
                <w:sz w:val="21"/>
                <w:szCs w:val="21"/>
                <w:lang w:val="en-GB" w:eastAsia="en-US"/>
              </w:rPr>
            </w:pPr>
            <w:bookmarkStart w:id="166" w:name="_Toc103506700"/>
            <w:r w:rsidRPr="0003093F">
              <w:rPr>
                <w:rFonts w:ascii="Corbel" w:eastAsia="Times New Roman" w:hAnsi="Corbel" w:cs="Arial"/>
                <w:b/>
                <w:sz w:val="21"/>
                <w:szCs w:val="21"/>
                <w:lang w:val="en-GB" w:eastAsia="en-US"/>
              </w:rPr>
              <w:t>Progress against targets</w:t>
            </w:r>
            <w:bookmarkEnd w:id="166"/>
          </w:p>
        </w:tc>
      </w:tr>
      <w:tr w:rsidR="0056537C" w:rsidRPr="0003093F" w14:paraId="37E4FAB0" w14:textId="77777777" w:rsidTr="4F6DD0A6">
        <w:trPr>
          <w:trHeight w:val="412"/>
          <w:jc w:val="center"/>
        </w:trPr>
        <w:tc>
          <w:tcPr>
            <w:tcW w:w="2997" w:type="dxa"/>
            <w:shd w:val="clear" w:color="auto" w:fill="auto"/>
          </w:tcPr>
          <w:p w14:paraId="6549793A" w14:textId="46DD38AC" w:rsidR="0056537C" w:rsidRPr="0003093F" w:rsidRDefault="00D643CB" w:rsidP="006A5483">
            <w:pPr>
              <w:jc w:val="both"/>
              <w:rPr>
                <w:rFonts w:ascii="Corbel" w:eastAsia="Times New Roman" w:hAnsi="Corbel" w:cs="Arial"/>
                <w:sz w:val="20"/>
                <w:szCs w:val="20"/>
                <w:lang w:val="en-GB" w:eastAsia="en-US"/>
              </w:rPr>
            </w:pPr>
            <w:r w:rsidRPr="0003093F">
              <w:rPr>
                <w:rFonts w:ascii="Corbel" w:eastAsia="Times New Roman" w:hAnsi="Corbel" w:cs="Arial"/>
                <w:sz w:val="20"/>
                <w:szCs w:val="20"/>
                <w:lang w:val="en-GB" w:eastAsia="en-US"/>
              </w:rPr>
              <w:t xml:space="preserve">Indicator 3.1: </w:t>
            </w:r>
            <w:r w:rsidR="00C20862" w:rsidRPr="0003093F">
              <w:rPr>
                <w:rFonts w:ascii="Corbel" w:eastAsia="Times New Roman" w:hAnsi="Corbel" w:cs="Arial"/>
                <w:sz w:val="20"/>
                <w:szCs w:val="20"/>
                <w:lang w:val="en-GB" w:eastAsia="en-US"/>
              </w:rPr>
              <w:t>Number of Morocco policies being revised for better alignment with PAFTA</w:t>
            </w:r>
          </w:p>
        </w:tc>
        <w:tc>
          <w:tcPr>
            <w:tcW w:w="2880" w:type="dxa"/>
            <w:shd w:val="clear" w:color="auto" w:fill="auto"/>
          </w:tcPr>
          <w:p w14:paraId="0E13497B" w14:textId="7A650B6B" w:rsidR="00C20862" w:rsidRPr="0003093F" w:rsidRDefault="005A2CC1" w:rsidP="006A5483">
            <w:pPr>
              <w:jc w:val="both"/>
              <w:rPr>
                <w:rFonts w:ascii="Corbel" w:eastAsia="Times New Roman" w:hAnsi="Corbel" w:cs="Arial"/>
                <w:sz w:val="20"/>
                <w:szCs w:val="20"/>
                <w:lang w:val="en-GB" w:eastAsia="en-US"/>
              </w:rPr>
            </w:pPr>
            <w:r w:rsidRPr="0003093F">
              <w:rPr>
                <w:rFonts w:ascii="Corbel" w:eastAsia="Times New Roman" w:hAnsi="Corbel" w:cs="Arial"/>
                <w:sz w:val="20"/>
                <w:szCs w:val="20"/>
                <w:lang w:val="en-GB" w:eastAsia="en-US"/>
              </w:rPr>
              <w:t xml:space="preserve">Baseline 3.1: </w:t>
            </w:r>
            <w:r w:rsidR="00C20862" w:rsidRPr="0003093F">
              <w:rPr>
                <w:rFonts w:ascii="Corbel" w:eastAsia="Times New Roman" w:hAnsi="Corbel" w:cs="Arial"/>
                <w:sz w:val="20"/>
                <w:szCs w:val="20"/>
                <w:lang w:val="en-GB" w:eastAsia="en-US"/>
              </w:rPr>
              <w:t xml:space="preserve"> Morocco trade policies are not aligned with PAFTA</w:t>
            </w:r>
          </w:p>
          <w:p w14:paraId="0B6CB679" w14:textId="14F6A98F" w:rsidR="005A2CC1" w:rsidRPr="0003093F" w:rsidRDefault="005A2CC1" w:rsidP="006A5483">
            <w:pPr>
              <w:jc w:val="both"/>
              <w:rPr>
                <w:rFonts w:ascii="Corbel" w:eastAsia="Times New Roman" w:hAnsi="Corbel" w:cs="Arial"/>
                <w:sz w:val="20"/>
                <w:szCs w:val="20"/>
                <w:lang w:val="en-GB" w:eastAsia="en-US"/>
              </w:rPr>
            </w:pPr>
          </w:p>
          <w:p w14:paraId="2DF9FEF7" w14:textId="6AB71BED" w:rsidR="008C0BF1" w:rsidRPr="0003093F" w:rsidRDefault="008C0BF1" w:rsidP="006A5483">
            <w:pPr>
              <w:jc w:val="both"/>
              <w:rPr>
                <w:rFonts w:ascii="Corbel" w:eastAsia="Times New Roman" w:hAnsi="Corbel" w:cs="Arial"/>
                <w:sz w:val="20"/>
                <w:szCs w:val="20"/>
                <w:lang w:val="en-GB" w:eastAsia="en-US"/>
              </w:rPr>
            </w:pPr>
          </w:p>
          <w:p w14:paraId="53533794" w14:textId="2BF17ADB" w:rsidR="005A2CC1" w:rsidRPr="0003093F" w:rsidRDefault="008C0BF1" w:rsidP="006A5483">
            <w:pPr>
              <w:jc w:val="both"/>
              <w:rPr>
                <w:rFonts w:ascii="Corbel" w:eastAsia="Times New Roman" w:hAnsi="Corbel" w:cs="Arial"/>
                <w:sz w:val="20"/>
                <w:szCs w:val="20"/>
                <w:lang w:val="en-GB" w:eastAsia="en-US"/>
              </w:rPr>
            </w:pPr>
            <w:r w:rsidRPr="0003093F">
              <w:rPr>
                <w:rFonts w:ascii="Corbel" w:eastAsia="Times New Roman" w:hAnsi="Corbel" w:cs="Arial"/>
                <w:sz w:val="20"/>
                <w:szCs w:val="20"/>
                <w:lang w:val="en-GB" w:eastAsia="en-US"/>
              </w:rPr>
              <w:t>Target 3.1:</w:t>
            </w:r>
            <w:r w:rsidR="00C20862" w:rsidRPr="0003093F">
              <w:rPr>
                <w:rFonts w:ascii="Corbel" w:eastAsia="Times New Roman" w:hAnsi="Corbel" w:cs="Arial"/>
                <w:sz w:val="20"/>
                <w:szCs w:val="20"/>
                <w:lang w:val="en-GB" w:eastAsia="en-US"/>
              </w:rPr>
              <w:t xml:space="preserve"> At least two proposals, contributing to Morocco policies being revised to better align with PAFTA</w:t>
            </w:r>
          </w:p>
        </w:tc>
        <w:tc>
          <w:tcPr>
            <w:tcW w:w="4178" w:type="dxa"/>
            <w:shd w:val="clear" w:color="auto" w:fill="auto"/>
          </w:tcPr>
          <w:p w14:paraId="00D32889" w14:textId="6FDBEB76" w:rsidR="00120ED8" w:rsidRDefault="00457E6F" w:rsidP="00570ACC">
            <w:pPr>
              <w:widowControl w:val="0"/>
              <w:jc w:val="both"/>
              <w:outlineLvl w:val="0"/>
              <w:rPr>
                <w:rFonts w:ascii="Corbel" w:eastAsia="Times New Roman" w:hAnsi="Corbel" w:cs="Arial"/>
                <w:sz w:val="20"/>
                <w:szCs w:val="20"/>
                <w:lang w:val="en-GB" w:eastAsia="en-US"/>
              </w:rPr>
            </w:pPr>
            <w:bookmarkStart w:id="167" w:name="_Toc103506701"/>
            <w:r w:rsidRPr="4F6DD0A6">
              <w:rPr>
                <w:rFonts w:ascii="Corbel" w:eastAsia="Times New Roman" w:hAnsi="Corbel" w:cs="Arial"/>
                <w:sz w:val="20"/>
                <w:szCs w:val="20"/>
                <w:lang w:val="en-GB" w:eastAsia="en-US"/>
              </w:rPr>
              <w:t>3.1 The</w:t>
            </w:r>
            <w:r w:rsidR="2026669D" w:rsidRPr="4F6DD0A6">
              <w:rPr>
                <w:rFonts w:ascii="Corbel" w:eastAsia="Times New Roman" w:hAnsi="Corbel" w:cs="Arial"/>
                <w:sz w:val="20"/>
                <w:szCs w:val="20"/>
                <w:lang w:val="en-GB" w:eastAsia="en-US"/>
              </w:rPr>
              <w:t xml:space="preserve"> performance of the Moroccan Single Window</w:t>
            </w:r>
            <w:r w:rsidR="6B4C370A" w:rsidRPr="4F6DD0A6">
              <w:rPr>
                <w:rFonts w:ascii="Corbel" w:eastAsia="Times New Roman" w:hAnsi="Corbel" w:cs="Arial"/>
                <w:sz w:val="20"/>
                <w:szCs w:val="20"/>
                <w:lang w:val="en-GB" w:eastAsia="en-US"/>
              </w:rPr>
              <w:t>/</w:t>
            </w:r>
            <w:proofErr w:type="spellStart"/>
            <w:r w:rsidR="6B4C370A" w:rsidRPr="4F6DD0A6">
              <w:rPr>
                <w:rFonts w:ascii="Corbel" w:eastAsia="Times New Roman" w:hAnsi="Corbel" w:cs="Arial"/>
                <w:sz w:val="20"/>
                <w:szCs w:val="20"/>
                <w:lang w:val="en-GB" w:eastAsia="en-US"/>
              </w:rPr>
              <w:t>PortNet</w:t>
            </w:r>
            <w:proofErr w:type="spellEnd"/>
            <w:r w:rsidR="2026669D" w:rsidRPr="4F6DD0A6">
              <w:rPr>
                <w:rFonts w:ascii="Corbel" w:eastAsia="Times New Roman" w:hAnsi="Corbel" w:cs="Arial"/>
                <w:sz w:val="20"/>
                <w:szCs w:val="20"/>
                <w:lang w:val="en-GB" w:eastAsia="en-US"/>
              </w:rPr>
              <w:t xml:space="preserve"> </w:t>
            </w:r>
            <w:r w:rsidR="6CB09680" w:rsidRPr="4F6DD0A6">
              <w:rPr>
                <w:rFonts w:ascii="Corbel" w:eastAsia="Times New Roman" w:hAnsi="Corbel" w:cs="Arial"/>
                <w:sz w:val="20"/>
                <w:szCs w:val="20"/>
                <w:lang w:val="en-GB" w:eastAsia="en-US"/>
              </w:rPr>
              <w:t xml:space="preserve">assessed </w:t>
            </w:r>
            <w:r w:rsidR="007212A8">
              <w:rPr>
                <w:rFonts w:ascii="Corbel" w:eastAsia="Times New Roman" w:hAnsi="Corbel" w:cs="Arial"/>
                <w:sz w:val="20"/>
                <w:szCs w:val="20"/>
                <w:lang w:val="en-GB" w:eastAsia="en-US"/>
              </w:rPr>
              <w:t>the</w:t>
            </w:r>
            <w:r w:rsidR="00055BD3">
              <w:rPr>
                <w:rFonts w:ascii="Corbel" w:eastAsia="Times New Roman" w:hAnsi="Corbel" w:cs="Arial"/>
                <w:sz w:val="20"/>
                <w:szCs w:val="20"/>
                <w:lang w:val="en-GB" w:eastAsia="en-US"/>
              </w:rPr>
              <w:t xml:space="preserve"> facility</w:t>
            </w:r>
            <w:r w:rsidR="1A12EDAD" w:rsidRPr="4F6DD0A6">
              <w:rPr>
                <w:rFonts w:ascii="Corbel" w:eastAsia="Times New Roman" w:hAnsi="Corbel" w:cs="Arial"/>
                <w:sz w:val="20"/>
                <w:szCs w:val="20"/>
                <w:lang w:val="en-GB" w:eastAsia="en-US"/>
              </w:rPr>
              <w:t xml:space="preserve"> capacity to support</w:t>
            </w:r>
            <w:r w:rsidR="2026669D" w:rsidRPr="4F6DD0A6">
              <w:rPr>
                <w:rFonts w:ascii="Corbel" w:eastAsia="Times New Roman" w:hAnsi="Corbel" w:cs="Arial"/>
                <w:sz w:val="20"/>
                <w:szCs w:val="20"/>
                <w:lang w:val="en-GB" w:eastAsia="en-US"/>
              </w:rPr>
              <w:t xml:space="preserve"> supply chains and </w:t>
            </w:r>
            <w:r w:rsidR="5D5DCDC4" w:rsidRPr="4F6DD0A6">
              <w:rPr>
                <w:rFonts w:ascii="Corbel" w:eastAsia="Times New Roman" w:hAnsi="Corbel" w:cs="Arial"/>
                <w:sz w:val="20"/>
                <w:szCs w:val="20"/>
                <w:lang w:val="en-GB" w:eastAsia="en-US"/>
              </w:rPr>
              <w:t xml:space="preserve">compliance with PAFTA provisions for </w:t>
            </w:r>
            <w:r w:rsidR="05E2B8CD" w:rsidRPr="4F6DD0A6">
              <w:rPr>
                <w:rFonts w:ascii="Corbel" w:eastAsia="Times New Roman" w:hAnsi="Corbel" w:cs="Arial"/>
                <w:sz w:val="20"/>
                <w:szCs w:val="20"/>
                <w:lang w:val="en-GB" w:eastAsia="en-US"/>
              </w:rPr>
              <w:t>trade in goods</w:t>
            </w:r>
            <w:r w:rsidR="5D5DCDC4" w:rsidRPr="4F6DD0A6">
              <w:rPr>
                <w:rFonts w:ascii="Corbel" w:eastAsia="Times New Roman" w:hAnsi="Corbel" w:cs="Arial"/>
                <w:sz w:val="20"/>
                <w:szCs w:val="20"/>
                <w:lang w:val="en-GB" w:eastAsia="en-US"/>
              </w:rPr>
              <w:t>.</w:t>
            </w:r>
            <w:r w:rsidR="7405484E" w:rsidRPr="4F6DD0A6">
              <w:rPr>
                <w:rFonts w:ascii="Corbel" w:eastAsia="Times New Roman" w:hAnsi="Corbel" w:cs="Arial"/>
                <w:sz w:val="20"/>
                <w:szCs w:val="20"/>
                <w:lang w:val="en-GB" w:eastAsia="en-US"/>
              </w:rPr>
              <w:t xml:space="preserve"> The assessment informed</w:t>
            </w:r>
            <w:r w:rsidR="73EFA10F" w:rsidRPr="4F6DD0A6">
              <w:rPr>
                <w:rFonts w:ascii="Corbel" w:eastAsia="Times New Roman" w:hAnsi="Corbel" w:cs="Arial"/>
                <w:sz w:val="20"/>
                <w:szCs w:val="20"/>
                <w:lang w:val="en-GB" w:eastAsia="en-US"/>
              </w:rPr>
              <w:t xml:space="preserve"> the dematerialization of border control in line with the upgraded protocol of PAFTA.</w:t>
            </w:r>
            <w:bookmarkEnd w:id="167"/>
            <w:r w:rsidR="73EFA10F" w:rsidRPr="4F6DD0A6">
              <w:rPr>
                <w:rFonts w:ascii="Corbel" w:eastAsia="Times New Roman" w:hAnsi="Corbel" w:cs="Arial"/>
                <w:sz w:val="20"/>
                <w:szCs w:val="20"/>
                <w:lang w:val="en-GB" w:eastAsia="en-US"/>
              </w:rPr>
              <w:t xml:space="preserve"> </w:t>
            </w:r>
          </w:p>
          <w:p w14:paraId="36EC10D5" w14:textId="7D01B9D3" w:rsidR="00F67D1B" w:rsidRDefault="00120ED8" w:rsidP="00570ACC">
            <w:pPr>
              <w:widowControl w:val="0"/>
              <w:jc w:val="both"/>
              <w:outlineLvl w:val="0"/>
              <w:rPr>
                <w:rFonts w:ascii="Corbel" w:eastAsia="Times New Roman" w:hAnsi="Corbel" w:cs="Arial"/>
                <w:sz w:val="20"/>
                <w:szCs w:val="20"/>
                <w:lang w:val="en-GB" w:eastAsia="en-US"/>
              </w:rPr>
            </w:pPr>
            <w:bookmarkStart w:id="168" w:name="_Toc103506702"/>
            <w:r>
              <w:rPr>
                <w:rFonts w:ascii="Corbel" w:eastAsia="Times New Roman" w:hAnsi="Corbel" w:cs="Arial"/>
                <w:sz w:val="20"/>
                <w:szCs w:val="20"/>
                <w:lang w:val="en-GB" w:eastAsia="en-US"/>
              </w:rPr>
              <w:t>The project</w:t>
            </w:r>
            <w:r w:rsidR="00707049">
              <w:rPr>
                <w:rFonts w:ascii="Corbel" w:eastAsia="Times New Roman" w:hAnsi="Corbel" w:cs="Arial"/>
                <w:sz w:val="20"/>
                <w:szCs w:val="20"/>
                <w:lang w:val="en-GB" w:eastAsia="en-US"/>
              </w:rPr>
              <w:t xml:space="preserve">, in cooperation </w:t>
            </w:r>
            <w:r w:rsidR="004140B5">
              <w:rPr>
                <w:rFonts w:ascii="Corbel" w:eastAsia="Times New Roman" w:hAnsi="Corbel" w:cs="Arial"/>
                <w:sz w:val="20"/>
                <w:szCs w:val="20"/>
                <w:lang w:val="en-GB" w:eastAsia="en-US"/>
              </w:rPr>
              <w:t>with</w:t>
            </w:r>
            <w:r w:rsidR="00707049">
              <w:rPr>
                <w:rFonts w:ascii="Corbel" w:eastAsia="Times New Roman" w:hAnsi="Corbel" w:cs="Arial"/>
                <w:sz w:val="20"/>
                <w:szCs w:val="20"/>
                <w:lang w:val="en-GB" w:eastAsia="en-US"/>
              </w:rPr>
              <w:t xml:space="preserve"> UNCTAD supported</w:t>
            </w:r>
            <w:r w:rsidR="00F04691" w:rsidRPr="0003093F">
              <w:rPr>
                <w:rFonts w:ascii="Corbel" w:eastAsia="Times New Roman" w:hAnsi="Corbel" w:cs="Arial"/>
                <w:sz w:val="20"/>
                <w:szCs w:val="20"/>
                <w:lang w:val="en-GB" w:eastAsia="en-US"/>
              </w:rPr>
              <w:t xml:space="preserve"> the </w:t>
            </w:r>
            <w:r w:rsidR="00707049">
              <w:rPr>
                <w:rFonts w:ascii="Corbel" w:eastAsia="Times New Roman" w:hAnsi="Corbel" w:cs="Arial"/>
                <w:sz w:val="20"/>
                <w:szCs w:val="20"/>
                <w:lang w:val="en-GB" w:eastAsia="en-US"/>
              </w:rPr>
              <w:t xml:space="preserve">Trade in </w:t>
            </w:r>
            <w:r w:rsidR="00F04691" w:rsidRPr="0003093F">
              <w:rPr>
                <w:rFonts w:ascii="Corbel" w:eastAsia="Times New Roman" w:hAnsi="Corbel" w:cs="Arial"/>
                <w:sz w:val="20"/>
                <w:szCs w:val="20"/>
                <w:lang w:val="en-GB" w:eastAsia="en-US"/>
              </w:rPr>
              <w:t>Services Policy Review of three sectors, namely</w:t>
            </w:r>
            <w:r w:rsidR="00871DD0">
              <w:rPr>
                <w:rFonts w:ascii="Corbel" w:eastAsia="Times New Roman" w:hAnsi="Corbel" w:cs="Arial"/>
                <w:sz w:val="20"/>
                <w:szCs w:val="20"/>
                <w:lang w:val="en-GB" w:eastAsia="en-US"/>
              </w:rPr>
              <w:t>:</w:t>
            </w:r>
            <w:r w:rsidR="00F04691" w:rsidRPr="0003093F">
              <w:rPr>
                <w:rFonts w:ascii="Corbel" w:eastAsia="Times New Roman" w:hAnsi="Corbel" w:cs="Arial"/>
                <w:sz w:val="20"/>
                <w:szCs w:val="20"/>
                <w:lang w:val="en-GB" w:eastAsia="en-US"/>
              </w:rPr>
              <w:t xml:space="preserve"> Legal Services, Whole Sales and Retail Distribution</w:t>
            </w:r>
            <w:r w:rsidR="00871DD0">
              <w:rPr>
                <w:rFonts w:ascii="Corbel" w:eastAsia="Times New Roman" w:hAnsi="Corbel" w:cs="Arial"/>
                <w:sz w:val="20"/>
                <w:szCs w:val="20"/>
                <w:lang w:val="en-GB" w:eastAsia="en-US"/>
              </w:rPr>
              <w:t>,</w:t>
            </w:r>
            <w:r w:rsidR="00F04691" w:rsidRPr="0003093F">
              <w:rPr>
                <w:rFonts w:ascii="Corbel" w:eastAsia="Times New Roman" w:hAnsi="Corbel" w:cs="Arial"/>
                <w:sz w:val="20"/>
                <w:szCs w:val="20"/>
                <w:lang w:val="en-GB" w:eastAsia="en-US"/>
              </w:rPr>
              <w:t xml:space="preserve"> and Logistics services of </w:t>
            </w:r>
            <w:r w:rsidR="004140B5" w:rsidRPr="0003093F">
              <w:rPr>
                <w:rFonts w:ascii="Corbel" w:eastAsia="Times New Roman" w:hAnsi="Corbel" w:cs="Arial"/>
                <w:sz w:val="20"/>
                <w:szCs w:val="20"/>
                <w:lang w:val="en-GB" w:eastAsia="en-US"/>
              </w:rPr>
              <w:t>pharmaceutical</w:t>
            </w:r>
            <w:r w:rsidR="00F04691" w:rsidRPr="0003093F">
              <w:rPr>
                <w:rFonts w:ascii="Corbel" w:eastAsia="Times New Roman" w:hAnsi="Corbel" w:cs="Arial"/>
                <w:sz w:val="20"/>
                <w:szCs w:val="20"/>
                <w:lang w:val="en-GB" w:eastAsia="en-US"/>
              </w:rPr>
              <w:t xml:space="preserve"> products.</w:t>
            </w:r>
            <w:bookmarkEnd w:id="168"/>
          </w:p>
          <w:p w14:paraId="488F2E03" w14:textId="36ECD675" w:rsidR="000E5540" w:rsidRPr="0003093F" w:rsidRDefault="000E5540" w:rsidP="00570ACC">
            <w:pPr>
              <w:widowControl w:val="0"/>
              <w:jc w:val="both"/>
              <w:outlineLvl w:val="0"/>
              <w:rPr>
                <w:rFonts w:ascii="Corbel" w:eastAsia="Times New Roman" w:hAnsi="Corbel" w:cs="Arial"/>
                <w:sz w:val="20"/>
                <w:szCs w:val="20"/>
                <w:lang w:eastAsia="en-US"/>
              </w:rPr>
            </w:pPr>
          </w:p>
        </w:tc>
      </w:tr>
      <w:tr w:rsidR="007221AE" w:rsidRPr="0003093F" w14:paraId="3F02047B" w14:textId="77777777" w:rsidTr="4F6DD0A6">
        <w:trPr>
          <w:trHeight w:val="412"/>
          <w:jc w:val="center"/>
        </w:trPr>
        <w:tc>
          <w:tcPr>
            <w:tcW w:w="2997" w:type="dxa"/>
            <w:shd w:val="clear" w:color="auto" w:fill="auto"/>
          </w:tcPr>
          <w:p w14:paraId="012122F1" w14:textId="77777777" w:rsidR="007221AE" w:rsidRPr="0003093F" w:rsidRDefault="007221AE" w:rsidP="006A5483">
            <w:pPr>
              <w:jc w:val="both"/>
              <w:rPr>
                <w:rFonts w:ascii="Corbel" w:eastAsia="Times New Roman" w:hAnsi="Corbel" w:cs="Arial"/>
                <w:sz w:val="20"/>
                <w:szCs w:val="20"/>
                <w:lang w:val="en-GB" w:eastAsia="en-US"/>
              </w:rPr>
            </w:pPr>
            <w:r w:rsidRPr="0003093F">
              <w:rPr>
                <w:rFonts w:ascii="Corbel" w:eastAsia="Times New Roman" w:hAnsi="Corbel" w:cs="Arial"/>
                <w:sz w:val="20"/>
                <w:szCs w:val="20"/>
                <w:lang w:val="en-GB" w:eastAsia="en-US"/>
              </w:rPr>
              <w:t xml:space="preserve">Indicator 3.2: Number of assessments of policy coherence mechanism and the relation between trade agreements </w:t>
            </w:r>
          </w:p>
          <w:p w14:paraId="55F84AA0" w14:textId="77777777" w:rsidR="007221AE" w:rsidRPr="0003093F" w:rsidRDefault="007221AE" w:rsidP="006A5483">
            <w:pPr>
              <w:jc w:val="both"/>
              <w:rPr>
                <w:rFonts w:ascii="Corbel" w:eastAsia="Times New Roman" w:hAnsi="Corbel" w:cs="Arial"/>
                <w:sz w:val="20"/>
                <w:szCs w:val="20"/>
                <w:lang w:val="en-GB" w:eastAsia="en-US"/>
              </w:rPr>
            </w:pPr>
          </w:p>
        </w:tc>
        <w:tc>
          <w:tcPr>
            <w:tcW w:w="2880" w:type="dxa"/>
            <w:shd w:val="clear" w:color="auto" w:fill="auto"/>
          </w:tcPr>
          <w:p w14:paraId="51440C03" w14:textId="4513992A" w:rsidR="005A2CC1" w:rsidRPr="0003093F" w:rsidRDefault="005A2CC1" w:rsidP="006A5483">
            <w:pPr>
              <w:jc w:val="both"/>
              <w:rPr>
                <w:rFonts w:ascii="Corbel" w:eastAsia="Times New Roman" w:hAnsi="Corbel" w:cs="Arial"/>
                <w:sz w:val="20"/>
                <w:szCs w:val="20"/>
                <w:lang w:val="en-GB" w:eastAsia="en-US"/>
              </w:rPr>
            </w:pPr>
            <w:r w:rsidRPr="0003093F">
              <w:rPr>
                <w:rFonts w:ascii="Corbel" w:eastAsia="Times New Roman" w:hAnsi="Corbel" w:cs="Arial"/>
                <w:sz w:val="20"/>
                <w:szCs w:val="20"/>
                <w:lang w:val="en-GB" w:eastAsia="en-US"/>
              </w:rPr>
              <w:t>Baseline 3.2: Absence of trade policy coherence mechanism at the national level vis-à-vis the increased number of trade arrangements in the region.</w:t>
            </w:r>
          </w:p>
          <w:p w14:paraId="1BE7A9D7" w14:textId="216B5ED2" w:rsidR="008C0BF1" w:rsidRPr="0003093F" w:rsidRDefault="008C0BF1" w:rsidP="006A5483">
            <w:pPr>
              <w:jc w:val="both"/>
              <w:rPr>
                <w:rFonts w:ascii="Corbel" w:eastAsia="Times New Roman" w:hAnsi="Corbel" w:cs="Arial"/>
                <w:sz w:val="20"/>
                <w:szCs w:val="20"/>
                <w:lang w:val="en-GB" w:eastAsia="en-US"/>
              </w:rPr>
            </w:pPr>
          </w:p>
          <w:p w14:paraId="3153B631" w14:textId="38C78ADA" w:rsidR="007221AE" w:rsidRPr="0003093F" w:rsidRDefault="008C0BF1" w:rsidP="006A5483">
            <w:pPr>
              <w:jc w:val="both"/>
              <w:rPr>
                <w:rFonts w:ascii="Corbel" w:eastAsia="Times New Roman" w:hAnsi="Corbel" w:cs="Arial"/>
                <w:sz w:val="20"/>
                <w:szCs w:val="20"/>
                <w:lang w:val="en-GB" w:eastAsia="en-US"/>
              </w:rPr>
            </w:pPr>
            <w:r w:rsidRPr="0003093F">
              <w:rPr>
                <w:rFonts w:ascii="Corbel" w:eastAsia="Times New Roman" w:hAnsi="Corbel" w:cs="Arial"/>
                <w:sz w:val="20"/>
                <w:szCs w:val="20"/>
                <w:lang w:val="en-GB" w:eastAsia="en-US"/>
              </w:rPr>
              <w:t>Target 3.2:</w:t>
            </w:r>
            <w:r w:rsidR="00F83956">
              <w:rPr>
                <w:rFonts w:ascii="Corbel" w:eastAsia="Times New Roman" w:hAnsi="Corbel" w:cs="Arial"/>
                <w:sz w:val="20"/>
                <w:szCs w:val="20"/>
                <w:lang w:val="en-GB" w:eastAsia="en-US"/>
              </w:rPr>
              <w:t xml:space="preserve"> </w:t>
            </w:r>
            <w:r w:rsidR="00C20862" w:rsidRPr="0003093F">
              <w:rPr>
                <w:rFonts w:ascii="Corbel" w:eastAsia="Times New Roman" w:hAnsi="Corbel" w:cs="Arial"/>
                <w:sz w:val="20"/>
                <w:szCs w:val="20"/>
                <w:lang w:val="en-GB" w:eastAsia="en-US"/>
              </w:rPr>
              <w:t xml:space="preserve">At least four countries benefit from mechanisms for coherence of trade policy  </w:t>
            </w:r>
          </w:p>
        </w:tc>
        <w:tc>
          <w:tcPr>
            <w:tcW w:w="4178" w:type="dxa"/>
            <w:shd w:val="clear" w:color="auto" w:fill="auto"/>
          </w:tcPr>
          <w:p w14:paraId="1DC99EBC" w14:textId="4474160F" w:rsidR="009F72F6" w:rsidRDefault="005A3284" w:rsidP="006A5483">
            <w:pPr>
              <w:jc w:val="both"/>
              <w:rPr>
                <w:rFonts w:ascii="Corbel" w:eastAsia="Times New Roman" w:hAnsi="Corbel" w:cs="Arial"/>
                <w:sz w:val="20"/>
                <w:szCs w:val="20"/>
                <w:lang w:val="en-GB" w:eastAsia="en-US"/>
              </w:rPr>
            </w:pPr>
            <w:r w:rsidRPr="0003093F">
              <w:rPr>
                <w:rFonts w:ascii="Corbel" w:eastAsia="Times New Roman" w:hAnsi="Corbel" w:cs="Arial"/>
                <w:sz w:val="20"/>
                <w:szCs w:val="20"/>
                <w:lang w:val="en-GB" w:eastAsia="en-US"/>
              </w:rPr>
              <w:t>3.</w:t>
            </w:r>
            <w:r w:rsidR="004140B5" w:rsidRPr="0003093F">
              <w:rPr>
                <w:rFonts w:ascii="Corbel" w:eastAsia="Times New Roman" w:hAnsi="Corbel" w:cs="Arial"/>
                <w:sz w:val="20"/>
                <w:szCs w:val="20"/>
                <w:lang w:val="en-GB" w:eastAsia="en-US"/>
              </w:rPr>
              <w:t>2. Iraq</w:t>
            </w:r>
            <w:r w:rsidR="00AB6D07" w:rsidRPr="0003093F">
              <w:rPr>
                <w:rFonts w:ascii="Corbel" w:eastAsia="Times New Roman" w:hAnsi="Corbel" w:cs="Arial"/>
                <w:sz w:val="20"/>
                <w:szCs w:val="20"/>
                <w:lang w:val="en-GB" w:eastAsia="en-US"/>
              </w:rPr>
              <w:t xml:space="preserve">, </w:t>
            </w:r>
            <w:r w:rsidR="00EF4F26">
              <w:rPr>
                <w:rFonts w:ascii="Corbel" w:eastAsia="Times New Roman" w:hAnsi="Corbel" w:cs="Arial"/>
                <w:sz w:val="20"/>
                <w:szCs w:val="20"/>
                <w:lang w:val="en-GB" w:eastAsia="en-US"/>
              </w:rPr>
              <w:t>Saudi Arabia</w:t>
            </w:r>
            <w:r w:rsidR="00AB6D07" w:rsidRPr="0003093F">
              <w:rPr>
                <w:rFonts w:ascii="Corbel" w:eastAsia="Times New Roman" w:hAnsi="Corbel" w:cs="Arial"/>
                <w:sz w:val="20"/>
                <w:szCs w:val="20"/>
                <w:lang w:val="en-GB" w:eastAsia="en-US"/>
              </w:rPr>
              <w:t xml:space="preserve">, </w:t>
            </w:r>
            <w:r w:rsidR="00EF4F26">
              <w:rPr>
                <w:rFonts w:ascii="Corbel" w:eastAsia="Times New Roman" w:hAnsi="Corbel" w:cs="Arial"/>
                <w:sz w:val="20"/>
                <w:szCs w:val="20"/>
                <w:lang w:val="en-GB" w:eastAsia="en-US"/>
              </w:rPr>
              <w:t xml:space="preserve">the State of </w:t>
            </w:r>
            <w:r w:rsidR="00AB6D07" w:rsidRPr="0003093F">
              <w:rPr>
                <w:rFonts w:ascii="Corbel" w:eastAsia="Times New Roman" w:hAnsi="Corbel" w:cs="Arial"/>
                <w:sz w:val="20"/>
                <w:szCs w:val="20"/>
                <w:lang w:val="en-GB" w:eastAsia="en-US"/>
              </w:rPr>
              <w:t>Palestine</w:t>
            </w:r>
            <w:r w:rsidR="00EF4F26">
              <w:rPr>
                <w:rFonts w:ascii="Corbel" w:eastAsia="Times New Roman" w:hAnsi="Corbel" w:cs="Arial"/>
                <w:sz w:val="20"/>
                <w:szCs w:val="20"/>
                <w:lang w:val="en-GB" w:eastAsia="en-US"/>
              </w:rPr>
              <w:t>,</w:t>
            </w:r>
            <w:r w:rsidR="00AB6D07" w:rsidRPr="0003093F">
              <w:rPr>
                <w:rFonts w:ascii="Corbel" w:eastAsia="Times New Roman" w:hAnsi="Corbel" w:cs="Arial"/>
                <w:sz w:val="20"/>
                <w:szCs w:val="20"/>
                <w:lang w:val="en-GB" w:eastAsia="en-US"/>
              </w:rPr>
              <w:t xml:space="preserve"> and Morocco </w:t>
            </w:r>
            <w:r w:rsidR="00EF4F26">
              <w:rPr>
                <w:rFonts w:ascii="Corbel" w:eastAsia="Times New Roman" w:hAnsi="Corbel" w:cs="Arial"/>
                <w:sz w:val="20"/>
                <w:szCs w:val="20"/>
                <w:lang w:val="en-GB" w:eastAsia="en-US"/>
              </w:rPr>
              <w:t>were supported</w:t>
            </w:r>
            <w:r w:rsidR="00AB6D07" w:rsidRPr="0003093F">
              <w:rPr>
                <w:rFonts w:ascii="Corbel" w:eastAsia="Times New Roman" w:hAnsi="Corbel" w:cs="Arial"/>
                <w:sz w:val="20"/>
                <w:szCs w:val="20"/>
                <w:lang w:val="en-GB" w:eastAsia="en-US"/>
              </w:rPr>
              <w:t xml:space="preserve"> in </w:t>
            </w:r>
            <w:r w:rsidR="004140B5">
              <w:rPr>
                <w:rFonts w:ascii="Corbel" w:eastAsia="Times New Roman" w:hAnsi="Corbel" w:cs="Arial"/>
                <w:sz w:val="20"/>
                <w:szCs w:val="20"/>
                <w:lang w:val="en-GB" w:eastAsia="en-US"/>
              </w:rPr>
              <w:t>aligning</w:t>
            </w:r>
            <w:r w:rsidR="00F70CC5">
              <w:rPr>
                <w:rFonts w:ascii="Corbel" w:eastAsia="Times New Roman" w:hAnsi="Corbel" w:cs="Arial"/>
                <w:sz w:val="20"/>
                <w:szCs w:val="20"/>
                <w:lang w:val="en-GB" w:eastAsia="en-US"/>
              </w:rPr>
              <w:t xml:space="preserve"> their policies to</w:t>
            </w:r>
            <w:r w:rsidR="00AB6D07" w:rsidRPr="0003093F">
              <w:rPr>
                <w:rFonts w:ascii="Corbel" w:eastAsia="Times New Roman" w:hAnsi="Corbel" w:cs="Arial"/>
                <w:sz w:val="20"/>
                <w:szCs w:val="20"/>
                <w:lang w:val="en-GB" w:eastAsia="en-US"/>
              </w:rPr>
              <w:t xml:space="preserve"> the Arab Agreement in trade in services</w:t>
            </w:r>
            <w:r w:rsidR="00F03F6C">
              <w:rPr>
                <w:rFonts w:ascii="Corbel" w:eastAsia="Times New Roman" w:hAnsi="Corbel" w:cs="Arial"/>
                <w:sz w:val="20"/>
                <w:szCs w:val="20"/>
                <w:lang w:val="en-GB" w:eastAsia="en-US"/>
              </w:rPr>
              <w:t>,</w:t>
            </w:r>
            <w:r w:rsidR="00892235">
              <w:rPr>
                <w:rFonts w:ascii="Corbel" w:eastAsia="Times New Roman" w:hAnsi="Corbel" w:cs="Arial"/>
                <w:sz w:val="20"/>
                <w:szCs w:val="20"/>
                <w:lang w:val="en-GB" w:eastAsia="en-US"/>
              </w:rPr>
              <w:t xml:space="preserve"> such as M</w:t>
            </w:r>
            <w:r w:rsidR="00892235" w:rsidRPr="0003093F">
              <w:rPr>
                <w:rFonts w:ascii="Corbel" w:eastAsia="Times New Roman" w:hAnsi="Corbel" w:cs="Arial"/>
                <w:sz w:val="20"/>
                <w:szCs w:val="20"/>
                <w:lang w:val="en-GB" w:eastAsia="en-US"/>
              </w:rPr>
              <w:t>utual Recognition Agreements and intra-and cross-sector partnerships to achieve the harmonization of qualifications and regulations in the tourism and services sectors</w:t>
            </w:r>
            <w:r w:rsidR="00892235">
              <w:rPr>
                <w:rFonts w:ascii="Corbel" w:eastAsia="Times New Roman" w:hAnsi="Corbel" w:cs="Arial"/>
                <w:sz w:val="20"/>
                <w:szCs w:val="20"/>
                <w:lang w:val="en-GB" w:eastAsia="en-US"/>
              </w:rPr>
              <w:t xml:space="preserve">. These exercises </w:t>
            </w:r>
            <w:r w:rsidR="00F03F6C">
              <w:rPr>
                <w:rFonts w:ascii="Corbel" w:eastAsia="Times New Roman" w:hAnsi="Corbel" w:cs="Arial"/>
                <w:sz w:val="20"/>
                <w:szCs w:val="20"/>
                <w:lang w:val="en-GB" w:eastAsia="en-US"/>
              </w:rPr>
              <w:t>includ</w:t>
            </w:r>
            <w:r w:rsidR="00892235">
              <w:rPr>
                <w:rFonts w:ascii="Corbel" w:eastAsia="Times New Roman" w:hAnsi="Corbel" w:cs="Arial"/>
                <w:sz w:val="20"/>
                <w:szCs w:val="20"/>
                <w:lang w:val="en-GB" w:eastAsia="en-US"/>
              </w:rPr>
              <w:t>ed the</w:t>
            </w:r>
            <w:r w:rsidR="00F70CC5">
              <w:rPr>
                <w:rFonts w:ascii="Corbel" w:eastAsia="Times New Roman" w:hAnsi="Corbel" w:cs="Arial"/>
                <w:sz w:val="20"/>
                <w:szCs w:val="20"/>
                <w:lang w:val="en-GB" w:eastAsia="en-US"/>
              </w:rPr>
              <w:t xml:space="preserve"> engag</w:t>
            </w:r>
            <w:r w:rsidR="00892235">
              <w:rPr>
                <w:rFonts w:ascii="Corbel" w:eastAsia="Times New Roman" w:hAnsi="Corbel" w:cs="Arial"/>
                <w:sz w:val="20"/>
                <w:szCs w:val="20"/>
                <w:lang w:val="en-GB" w:eastAsia="en-US"/>
              </w:rPr>
              <w:t>ement of</w:t>
            </w:r>
            <w:r w:rsidR="00F70CC5">
              <w:rPr>
                <w:rFonts w:ascii="Corbel" w:eastAsia="Times New Roman" w:hAnsi="Corbel" w:cs="Arial"/>
                <w:sz w:val="20"/>
                <w:szCs w:val="20"/>
                <w:lang w:val="en-GB" w:eastAsia="en-US"/>
              </w:rPr>
              <w:t xml:space="preserve"> </w:t>
            </w:r>
            <w:r w:rsidR="00AB6D07" w:rsidRPr="0003093F">
              <w:rPr>
                <w:rFonts w:ascii="Corbel" w:eastAsia="Times New Roman" w:hAnsi="Corbel" w:cs="Arial"/>
                <w:sz w:val="20"/>
                <w:szCs w:val="20"/>
                <w:lang w:val="en-GB" w:eastAsia="en-US"/>
              </w:rPr>
              <w:t>the private sector</w:t>
            </w:r>
            <w:r w:rsidR="00F03F6C">
              <w:rPr>
                <w:rFonts w:ascii="Corbel" w:eastAsia="Times New Roman" w:hAnsi="Corbel" w:cs="Arial"/>
                <w:sz w:val="20"/>
                <w:szCs w:val="20"/>
                <w:lang w:val="en-GB" w:eastAsia="en-US"/>
              </w:rPr>
              <w:t xml:space="preserve"> in the design of related policies</w:t>
            </w:r>
            <w:r w:rsidR="009F72F6">
              <w:rPr>
                <w:rFonts w:ascii="Corbel" w:eastAsia="Times New Roman" w:hAnsi="Corbel" w:cs="Arial"/>
                <w:sz w:val="20"/>
                <w:szCs w:val="20"/>
                <w:lang w:val="en-GB" w:eastAsia="en-US"/>
              </w:rPr>
              <w:t>.</w:t>
            </w:r>
          </w:p>
          <w:p w14:paraId="61FD7AD4" w14:textId="77777777" w:rsidR="00892235" w:rsidRDefault="009F72F6" w:rsidP="006A5483">
            <w:pPr>
              <w:jc w:val="both"/>
              <w:rPr>
                <w:rFonts w:ascii="Corbel" w:eastAsia="Times New Roman" w:hAnsi="Corbel" w:cs="Arial"/>
                <w:sz w:val="20"/>
                <w:szCs w:val="20"/>
                <w:lang w:val="en-GB" w:eastAsia="en-US"/>
              </w:rPr>
            </w:pPr>
            <w:r>
              <w:rPr>
                <w:rFonts w:ascii="Corbel" w:eastAsia="Times New Roman" w:hAnsi="Corbel" w:cs="Arial"/>
                <w:sz w:val="20"/>
                <w:szCs w:val="20"/>
                <w:lang w:val="en-GB" w:eastAsia="en-US"/>
              </w:rPr>
              <w:t>The State of</w:t>
            </w:r>
            <w:r w:rsidR="00AB6D07" w:rsidRPr="0003093F">
              <w:rPr>
                <w:rFonts w:ascii="Corbel" w:eastAsia="Times New Roman" w:hAnsi="Corbel" w:cs="Arial"/>
                <w:sz w:val="20"/>
                <w:szCs w:val="20"/>
                <w:lang w:val="en-GB" w:eastAsia="en-US"/>
              </w:rPr>
              <w:t xml:space="preserve"> Palestine </w:t>
            </w:r>
            <w:r>
              <w:rPr>
                <w:rFonts w:ascii="Corbel" w:eastAsia="Times New Roman" w:hAnsi="Corbel" w:cs="Arial"/>
                <w:sz w:val="20"/>
                <w:szCs w:val="20"/>
                <w:lang w:val="en-GB" w:eastAsia="en-US"/>
              </w:rPr>
              <w:t xml:space="preserve">was assisted in the accession </w:t>
            </w:r>
            <w:r w:rsidR="00AB6D07" w:rsidRPr="0003093F">
              <w:rPr>
                <w:rFonts w:ascii="Corbel" w:eastAsia="Times New Roman" w:hAnsi="Corbel" w:cs="Arial"/>
                <w:sz w:val="20"/>
                <w:szCs w:val="20"/>
                <w:lang w:val="en-GB" w:eastAsia="en-US"/>
              </w:rPr>
              <w:t xml:space="preserve">to the Agreement </w:t>
            </w:r>
            <w:r w:rsidR="00F87017">
              <w:rPr>
                <w:rFonts w:ascii="Corbel" w:eastAsia="Times New Roman" w:hAnsi="Corbel" w:cs="Arial"/>
                <w:sz w:val="20"/>
                <w:szCs w:val="20"/>
                <w:lang w:val="en-GB" w:eastAsia="en-US"/>
              </w:rPr>
              <w:t>in trade in</w:t>
            </w:r>
            <w:r w:rsidR="00AB6D07" w:rsidRPr="0003093F">
              <w:rPr>
                <w:rFonts w:ascii="Corbel" w:eastAsia="Times New Roman" w:hAnsi="Corbel" w:cs="Arial"/>
                <w:sz w:val="20"/>
                <w:szCs w:val="20"/>
                <w:lang w:val="en-GB" w:eastAsia="en-US"/>
              </w:rPr>
              <w:t xml:space="preserve"> services</w:t>
            </w:r>
            <w:r w:rsidR="00F87017">
              <w:rPr>
                <w:rFonts w:ascii="Corbel" w:eastAsia="Times New Roman" w:hAnsi="Corbel" w:cs="Arial"/>
                <w:sz w:val="20"/>
                <w:szCs w:val="20"/>
                <w:lang w:val="en-GB" w:eastAsia="en-US"/>
              </w:rPr>
              <w:t>.</w:t>
            </w:r>
          </w:p>
          <w:p w14:paraId="73813603" w14:textId="7A0EB54F" w:rsidR="003A3277" w:rsidRPr="0003093F" w:rsidRDefault="003A3277" w:rsidP="00FA578F">
            <w:pPr>
              <w:jc w:val="both"/>
              <w:rPr>
                <w:rFonts w:ascii="Corbel" w:eastAsia="Times New Roman" w:hAnsi="Corbel" w:cs="Arial"/>
                <w:sz w:val="20"/>
                <w:szCs w:val="20"/>
                <w:lang w:val="en-GB" w:eastAsia="en-US"/>
              </w:rPr>
            </w:pPr>
          </w:p>
        </w:tc>
      </w:tr>
      <w:tr w:rsidR="007221AE" w:rsidRPr="0003093F" w14:paraId="38514C4B" w14:textId="77777777" w:rsidTr="4F6DD0A6">
        <w:trPr>
          <w:trHeight w:val="412"/>
          <w:jc w:val="center"/>
        </w:trPr>
        <w:tc>
          <w:tcPr>
            <w:tcW w:w="2997" w:type="dxa"/>
            <w:shd w:val="clear" w:color="auto" w:fill="auto"/>
          </w:tcPr>
          <w:p w14:paraId="54C325C4" w14:textId="77777777" w:rsidR="007221AE" w:rsidRPr="0003093F" w:rsidRDefault="007221AE" w:rsidP="006A5483">
            <w:pPr>
              <w:jc w:val="both"/>
              <w:rPr>
                <w:rFonts w:ascii="Corbel" w:eastAsia="Times New Roman" w:hAnsi="Corbel" w:cs="Arial"/>
                <w:sz w:val="20"/>
                <w:szCs w:val="20"/>
                <w:lang w:val="en-GB" w:eastAsia="en-US"/>
              </w:rPr>
            </w:pPr>
            <w:r w:rsidRPr="0003093F">
              <w:rPr>
                <w:rFonts w:ascii="Corbel" w:eastAsia="Times New Roman" w:hAnsi="Corbel" w:cs="Arial"/>
                <w:sz w:val="20"/>
                <w:szCs w:val="20"/>
                <w:lang w:val="en-GB" w:eastAsia="en-US"/>
              </w:rPr>
              <w:t>Indicator 3.3: Existence of a framework to link trade policies in the region to the SDGs</w:t>
            </w:r>
          </w:p>
          <w:p w14:paraId="1BBF0DE3" w14:textId="77777777" w:rsidR="007221AE" w:rsidRPr="0003093F" w:rsidRDefault="007221AE" w:rsidP="006A5483">
            <w:pPr>
              <w:jc w:val="both"/>
              <w:rPr>
                <w:rFonts w:ascii="Corbel" w:eastAsia="Times New Roman" w:hAnsi="Corbel" w:cs="Arial"/>
                <w:sz w:val="20"/>
                <w:szCs w:val="20"/>
                <w:lang w:val="en-GB" w:eastAsia="en-US"/>
              </w:rPr>
            </w:pPr>
          </w:p>
        </w:tc>
        <w:tc>
          <w:tcPr>
            <w:tcW w:w="2880" w:type="dxa"/>
            <w:shd w:val="clear" w:color="auto" w:fill="auto"/>
          </w:tcPr>
          <w:p w14:paraId="40381425" w14:textId="619D5A7B" w:rsidR="008C0BF1" w:rsidRPr="0003093F" w:rsidRDefault="008C0BF1" w:rsidP="006A5483">
            <w:pPr>
              <w:widowControl w:val="0"/>
              <w:outlineLvl w:val="0"/>
              <w:rPr>
                <w:rFonts w:ascii="Corbel" w:eastAsia="Times New Roman" w:hAnsi="Corbel" w:cs="Arial"/>
                <w:sz w:val="20"/>
                <w:szCs w:val="20"/>
                <w:lang w:val="en-GB" w:eastAsia="en-US"/>
              </w:rPr>
            </w:pPr>
            <w:bookmarkStart w:id="169" w:name="_Toc103506703"/>
            <w:r w:rsidRPr="0003093F">
              <w:rPr>
                <w:rFonts w:ascii="Corbel" w:eastAsia="Times New Roman" w:hAnsi="Corbel" w:cs="Arial"/>
                <w:sz w:val="20"/>
                <w:szCs w:val="20"/>
                <w:lang w:val="en-GB" w:eastAsia="en-US"/>
              </w:rPr>
              <w:t>Baseline 3.3: Trade policies in the region are not aligned to Agenda 2030 and the SDGs</w:t>
            </w:r>
            <w:bookmarkEnd w:id="169"/>
          </w:p>
          <w:p w14:paraId="69DDC8D8" w14:textId="77777777" w:rsidR="008C0BF1" w:rsidRPr="0003093F" w:rsidRDefault="008C0BF1" w:rsidP="006A5483">
            <w:pPr>
              <w:widowControl w:val="0"/>
              <w:outlineLvl w:val="0"/>
              <w:rPr>
                <w:rFonts w:ascii="Corbel" w:eastAsia="Times New Roman" w:hAnsi="Corbel" w:cs="Arial"/>
                <w:sz w:val="20"/>
                <w:szCs w:val="20"/>
                <w:lang w:val="en-GB" w:eastAsia="en-US"/>
              </w:rPr>
            </w:pPr>
          </w:p>
          <w:p w14:paraId="0B847DD5" w14:textId="67E3A8DE" w:rsidR="005A2CC1" w:rsidRPr="0003093F" w:rsidRDefault="007E0711" w:rsidP="006A5483">
            <w:pPr>
              <w:widowControl w:val="0"/>
              <w:outlineLvl w:val="0"/>
              <w:rPr>
                <w:rFonts w:ascii="Corbel" w:eastAsia="Times New Roman" w:hAnsi="Corbel" w:cs="Arial"/>
                <w:sz w:val="20"/>
                <w:szCs w:val="20"/>
                <w:lang w:val="en-GB" w:eastAsia="en-US"/>
              </w:rPr>
            </w:pPr>
            <w:bookmarkStart w:id="170" w:name="_Toc103506704"/>
            <w:r w:rsidRPr="0003093F">
              <w:rPr>
                <w:rFonts w:ascii="Corbel" w:eastAsia="Times New Roman" w:hAnsi="Corbel" w:cs="Arial"/>
                <w:sz w:val="20"/>
                <w:szCs w:val="20"/>
                <w:lang w:val="en-GB" w:eastAsia="en-US"/>
              </w:rPr>
              <w:t>Target 3.3: monitoring framework on trade and the SDGs discussed and adopted by LAS and member states</w:t>
            </w:r>
            <w:bookmarkEnd w:id="170"/>
          </w:p>
        </w:tc>
        <w:tc>
          <w:tcPr>
            <w:tcW w:w="4178" w:type="dxa"/>
            <w:shd w:val="clear" w:color="auto" w:fill="auto"/>
          </w:tcPr>
          <w:p w14:paraId="32C1568B" w14:textId="7B61535D" w:rsidR="001241DD" w:rsidRPr="0003093F" w:rsidRDefault="2EB8B173" w:rsidP="006A5483">
            <w:pPr>
              <w:jc w:val="both"/>
              <w:rPr>
                <w:rFonts w:ascii="Corbel" w:eastAsia="Times New Roman" w:hAnsi="Corbel" w:cs="Arial"/>
                <w:sz w:val="20"/>
                <w:szCs w:val="20"/>
                <w:lang w:val="en-GB" w:eastAsia="en-US"/>
              </w:rPr>
            </w:pPr>
            <w:r w:rsidRPr="4F6DD0A6">
              <w:rPr>
                <w:rFonts w:ascii="Corbel" w:eastAsia="Times New Roman" w:hAnsi="Corbel" w:cs="Arial"/>
                <w:sz w:val="20"/>
                <w:szCs w:val="20"/>
                <w:lang w:val="en-GB" w:eastAsia="en-US"/>
              </w:rPr>
              <w:t xml:space="preserve">3.3. </w:t>
            </w:r>
            <w:r w:rsidR="17DFAF7A" w:rsidRPr="4F6DD0A6">
              <w:rPr>
                <w:rFonts w:ascii="Corbel" w:eastAsia="Times New Roman" w:hAnsi="Corbel" w:cs="Arial"/>
                <w:sz w:val="20"/>
                <w:szCs w:val="20"/>
                <w:lang w:val="en-GB" w:eastAsia="en-US"/>
              </w:rPr>
              <w:t>T</w:t>
            </w:r>
            <w:r w:rsidR="73EFA10F" w:rsidRPr="4F6DD0A6">
              <w:rPr>
                <w:rFonts w:ascii="Corbel" w:eastAsia="Times New Roman" w:hAnsi="Corbel" w:cs="Arial"/>
                <w:sz w:val="20"/>
                <w:szCs w:val="20"/>
                <w:lang w:val="en-GB" w:eastAsia="en-US"/>
              </w:rPr>
              <w:t xml:space="preserve">he </w:t>
            </w:r>
            <w:r w:rsidR="17DFAF7A" w:rsidRPr="4F6DD0A6">
              <w:rPr>
                <w:rFonts w:ascii="Corbel" w:eastAsia="Times New Roman" w:hAnsi="Corbel" w:cs="Arial"/>
                <w:sz w:val="20"/>
                <w:szCs w:val="20"/>
                <w:lang w:val="en-GB" w:eastAsia="en-US"/>
              </w:rPr>
              <w:t xml:space="preserve">LAS </w:t>
            </w:r>
            <w:r w:rsidR="73EFA10F" w:rsidRPr="4F6DD0A6">
              <w:rPr>
                <w:rFonts w:ascii="Corbel" w:eastAsia="Times New Roman" w:hAnsi="Corbel" w:cs="Arial"/>
                <w:sz w:val="20"/>
                <w:szCs w:val="20"/>
                <w:lang w:val="en-GB" w:eastAsia="en-US"/>
              </w:rPr>
              <w:t xml:space="preserve">Technical Secretariat </w:t>
            </w:r>
            <w:r w:rsidR="17DFAF7A" w:rsidRPr="4F6DD0A6">
              <w:rPr>
                <w:rFonts w:ascii="Corbel" w:eastAsia="Times New Roman" w:hAnsi="Corbel" w:cs="Arial"/>
                <w:sz w:val="20"/>
                <w:szCs w:val="20"/>
                <w:lang w:val="en-GB" w:eastAsia="en-US"/>
              </w:rPr>
              <w:t>was supported</w:t>
            </w:r>
            <w:r w:rsidR="73EFA10F" w:rsidRPr="4F6DD0A6">
              <w:rPr>
                <w:rFonts w:ascii="Corbel" w:eastAsia="Times New Roman" w:hAnsi="Corbel" w:cs="Arial"/>
                <w:sz w:val="20"/>
                <w:szCs w:val="20"/>
                <w:lang w:val="en-GB" w:eastAsia="en-US"/>
              </w:rPr>
              <w:t xml:space="preserve"> in </w:t>
            </w:r>
            <w:r w:rsidR="17DFAF7A" w:rsidRPr="4F6DD0A6">
              <w:rPr>
                <w:rFonts w:ascii="Corbel" w:eastAsia="Times New Roman" w:hAnsi="Corbel" w:cs="Arial"/>
                <w:sz w:val="20"/>
                <w:szCs w:val="20"/>
                <w:lang w:val="en-GB" w:eastAsia="en-US"/>
              </w:rPr>
              <w:t>the introduction of</w:t>
            </w:r>
            <w:r w:rsidR="73EFA10F" w:rsidRPr="4F6DD0A6">
              <w:rPr>
                <w:rFonts w:ascii="Corbel" w:eastAsia="Times New Roman" w:hAnsi="Corbel" w:cs="Arial"/>
                <w:sz w:val="20"/>
                <w:szCs w:val="20"/>
                <w:lang w:val="en-GB" w:eastAsia="en-US"/>
              </w:rPr>
              <w:t xml:space="preserve"> </w:t>
            </w:r>
            <w:proofErr w:type="spellStart"/>
            <w:r w:rsidR="213F161F" w:rsidRPr="4F6DD0A6">
              <w:rPr>
                <w:rFonts w:ascii="Corbel" w:eastAsia="Times New Roman" w:hAnsi="Corbel" w:cs="Arial"/>
                <w:sz w:val="20"/>
                <w:szCs w:val="20"/>
                <w:lang w:val="en-GB" w:eastAsia="en-US"/>
              </w:rPr>
              <w:t>trade&amp;</w:t>
            </w:r>
            <w:r w:rsidR="73EFA10F" w:rsidRPr="4F6DD0A6">
              <w:rPr>
                <w:rFonts w:ascii="Corbel" w:eastAsia="Times New Roman" w:hAnsi="Corbel" w:cs="Arial"/>
                <w:sz w:val="20"/>
                <w:szCs w:val="20"/>
                <w:lang w:val="en-GB" w:eastAsia="en-US"/>
              </w:rPr>
              <w:t>SDG-related</w:t>
            </w:r>
            <w:proofErr w:type="spellEnd"/>
            <w:r w:rsidR="73EFA10F" w:rsidRPr="4F6DD0A6">
              <w:rPr>
                <w:rFonts w:ascii="Corbel" w:eastAsia="Times New Roman" w:hAnsi="Corbel" w:cs="Arial"/>
                <w:sz w:val="20"/>
                <w:szCs w:val="20"/>
                <w:lang w:val="en-GB" w:eastAsia="en-US"/>
              </w:rPr>
              <w:t xml:space="preserve"> </w:t>
            </w:r>
            <w:r w:rsidR="5CDAAD1D" w:rsidRPr="4F6DD0A6">
              <w:rPr>
                <w:rFonts w:ascii="Corbel" w:eastAsia="Times New Roman" w:hAnsi="Corbel" w:cs="Arial"/>
                <w:sz w:val="20"/>
                <w:szCs w:val="20"/>
                <w:lang w:val="en-GB" w:eastAsia="en-US"/>
              </w:rPr>
              <w:t>subject like</w:t>
            </w:r>
            <w:r w:rsidR="73EFA10F" w:rsidRPr="4F6DD0A6">
              <w:rPr>
                <w:rFonts w:ascii="Corbel" w:eastAsia="Times New Roman" w:hAnsi="Corbel" w:cs="Arial"/>
                <w:sz w:val="20"/>
                <w:szCs w:val="20"/>
                <w:lang w:val="en-GB" w:eastAsia="en-US"/>
              </w:rPr>
              <w:t xml:space="preserve"> e-Commerce</w:t>
            </w:r>
            <w:r w:rsidR="213F161F" w:rsidRPr="4F6DD0A6">
              <w:rPr>
                <w:rFonts w:ascii="Corbel" w:eastAsia="Times New Roman" w:hAnsi="Corbel" w:cs="Arial"/>
                <w:sz w:val="20"/>
                <w:szCs w:val="20"/>
                <w:lang w:val="en-GB" w:eastAsia="en-US"/>
              </w:rPr>
              <w:t xml:space="preserve"> and the</w:t>
            </w:r>
            <w:r w:rsidR="73EFA10F" w:rsidRPr="4F6DD0A6">
              <w:rPr>
                <w:rFonts w:ascii="Corbel" w:eastAsia="Times New Roman" w:hAnsi="Corbel" w:cs="Arial"/>
                <w:sz w:val="20"/>
                <w:szCs w:val="20"/>
                <w:lang w:val="en-GB" w:eastAsia="en-US"/>
              </w:rPr>
              <w:t xml:space="preserve"> Green </w:t>
            </w:r>
            <w:r w:rsidR="213F161F" w:rsidRPr="4F6DD0A6">
              <w:rPr>
                <w:rFonts w:ascii="Corbel" w:eastAsia="Times New Roman" w:hAnsi="Corbel" w:cs="Arial"/>
                <w:sz w:val="20"/>
                <w:szCs w:val="20"/>
                <w:lang w:val="en-GB" w:eastAsia="en-US"/>
              </w:rPr>
              <w:t xml:space="preserve">and Circular </w:t>
            </w:r>
            <w:r w:rsidR="73EFA10F" w:rsidRPr="4F6DD0A6">
              <w:rPr>
                <w:rFonts w:ascii="Corbel" w:eastAsia="Times New Roman" w:hAnsi="Corbel" w:cs="Arial"/>
                <w:sz w:val="20"/>
                <w:szCs w:val="20"/>
                <w:lang w:val="en-GB" w:eastAsia="en-US"/>
              </w:rPr>
              <w:t>Economy.</w:t>
            </w:r>
          </w:p>
        </w:tc>
      </w:tr>
    </w:tbl>
    <w:p w14:paraId="3D865218" w14:textId="0DFCD2C2" w:rsidR="003B570F" w:rsidRDefault="003B570F" w:rsidP="00CF07FB">
      <w:pPr>
        <w:tabs>
          <w:tab w:val="left" w:pos="540"/>
          <w:tab w:val="left" w:pos="4680"/>
        </w:tabs>
        <w:spacing w:line="300" w:lineRule="exact"/>
        <w:jc w:val="both"/>
        <w:rPr>
          <w:rFonts w:ascii="Corbel" w:hAnsi="Corbel"/>
          <w:b/>
          <w:bCs/>
          <w:sz w:val="22"/>
          <w:szCs w:val="22"/>
          <w:lang w:val="en-GB"/>
        </w:rPr>
      </w:pPr>
    </w:p>
    <w:p w14:paraId="372E2156" w14:textId="77777777" w:rsidR="00136F1F" w:rsidRDefault="00136F1F" w:rsidP="00CF07FB">
      <w:pPr>
        <w:tabs>
          <w:tab w:val="left" w:pos="540"/>
          <w:tab w:val="left" w:pos="4680"/>
        </w:tabs>
        <w:spacing w:line="300" w:lineRule="exact"/>
        <w:jc w:val="both"/>
        <w:rPr>
          <w:rFonts w:ascii="Corbel" w:hAnsi="Corbel"/>
          <w:b/>
          <w:bCs/>
          <w:sz w:val="22"/>
          <w:szCs w:val="22"/>
          <w:lang w:val="en-GB"/>
        </w:rPr>
      </w:pPr>
    </w:p>
    <w:p w14:paraId="5CB7DDDE" w14:textId="62A05FC1" w:rsidR="0003093F" w:rsidRDefault="00CA4663" w:rsidP="00CF07FB">
      <w:pPr>
        <w:tabs>
          <w:tab w:val="left" w:pos="540"/>
          <w:tab w:val="left" w:pos="4680"/>
        </w:tabs>
        <w:spacing w:line="300" w:lineRule="exact"/>
        <w:jc w:val="both"/>
        <w:rPr>
          <w:rFonts w:ascii="Corbel" w:hAnsi="Corbel"/>
          <w:b/>
          <w:bCs/>
          <w:sz w:val="22"/>
          <w:szCs w:val="22"/>
          <w:lang w:val="en-GB"/>
        </w:rPr>
      </w:pPr>
      <w:r w:rsidRPr="00CA4663">
        <w:rPr>
          <w:rFonts w:ascii="Corbel" w:hAnsi="Corbel"/>
          <w:b/>
          <w:bCs/>
          <w:sz w:val="22"/>
          <w:szCs w:val="22"/>
          <w:lang w:val="en-GB"/>
        </w:rPr>
        <w:lastRenderedPageBreak/>
        <w:t>Output 4: Provision of country based technical assistance to policy makers for the modernization of the supply/value chain in preparation for the Arab Customs Union (ACU)</w:t>
      </w:r>
    </w:p>
    <w:p w14:paraId="543475DD" w14:textId="77777777" w:rsidR="00CA4663" w:rsidRDefault="00CA4663" w:rsidP="00CF07FB">
      <w:pPr>
        <w:tabs>
          <w:tab w:val="left" w:pos="540"/>
          <w:tab w:val="left" w:pos="4680"/>
        </w:tabs>
        <w:spacing w:line="300" w:lineRule="exact"/>
        <w:jc w:val="both"/>
        <w:rPr>
          <w:rFonts w:ascii="Corbel" w:hAnsi="Corbel"/>
          <w:b/>
          <w:bCs/>
          <w:sz w:val="22"/>
          <w:szCs w:val="22"/>
          <w:lang w:val="en-GB"/>
        </w:rPr>
      </w:pPr>
    </w:p>
    <w:p w14:paraId="0F95EF63" w14:textId="4412CB7E" w:rsidR="00CA4663" w:rsidRPr="004424AB" w:rsidRDefault="002100F0" w:rsidP="00CA4663">
      <w:pPr>
        <w:tabs>
          <w:tab w:val="left" w:pos="540"/>
          <w:tab w:val="left" w:pos="4680"/>
        </w:tabs>
        <w:spacing w:line="300" w:lineRule="exact"/>
        <w:jc w:val="both"/>
        <w:rPr>
          <w:rFonts w:ascii="Corbel" w:hAnsi="Corbel"/>
          <w:sz w:val="22"/>
          <w:szCs w:val="22"/>
        </w:rPr>
      </w:pPr>
      <w:r w:rsidRPr="002100F0">
        <w:rPr>
          <w:rFonts w:ascii="Corbel" w:hAnsi="Corbel"/>
          <w:sz w:val="22"/>
          <w:szCs w:val="22"/>
          <w:lang w:val="en-GB"/>
        </w:rPr>
        <w:t xml:space="preserve">Activities under Output 4 complement those under previous outputs, with a focus on supporting countries in the operationalization of trade reform at national level. </w:t>
      </w:r>
      <w:r w:rsidR="00CA4663" w:rsidRPr="004424AB">
        <w:rPr>
          <w:rFonts w:ascii="Corbel" w:hAnsi="Corbel"/>
          <w:sz w:val="22"/>
          <w:szCs w:val="22"/>
        </w:rPr>
        <w:t>Major achievements in supporting LAS member states in preparation for the Arab Customs Union include:</w:t>
      </w:r>
    </w:p>
    <w:p w14:paraId="060D6044" w14:textId="02D4CDCF" w:rsidR="00CA4663" w:rsidRPr="00612518" w:rsidRDefault="00136F1F" w:rsidP="000168EC">
      <w:pPr>
        <w:pStyle w:val="ListParagraph"/>
        <w:numPr>
          <w:ilvl w:val="0"/>
          <w:numId w:val="24"/>
        </w:numPr>
        <w:tabs>
          <w:tab w:val="left" w:pos="540"/>
          <w:tab w:val="left" w:pos="709"/>
        </w:tabs>
        <w:spacing w:line="300" w:lineRule="exact"/>
        <w:ind w:left="709" w:hanging="425"/>
        <w:jc w:val="both"/>
        <w:rPr>
          <w:rFonts w:ascii="Corbel" w:hAnsi="Corbel"/>
          <w:sz w:val="22"/>
          <w:szCs w:val="22"/>
        </w:rPr>
      </w:pPr>
      <w:r>
        <w:rPr>
          <w:rFonts w:ascii="Corbel" w:hAnsi="Corbel"/>
          <w:sz w:val="22"/>
          <w:szCs w:val="22"/>
          <w:lang w:val="en-US"/>
        </w:rPr>
        <w:t>T</w:t>
      </w:r>
      <w:r w:rsidR="00CA4663" w:rsidRPr="00612518">
        <w:rPr>
          <w:rFonts w:ascii="Corbel" w:hAnsi="Corbel"/>
          <w:sz w:val="22"/>
          <w:szCs w:val="22"/>
          <w:lang w:val="en-GB"/>
        </w:rPr>
        <w:t xml:space="preserve">he design of the institutional framework for the implementation of Jordan Single Window. </w:t>
      </w:r>
      <w:r w:rsidR="00B554BF" w:rsidRPr="00612518">
        <w:rPr>
          <w:rFonts w:ascii="Corbel" w:hAnsi="Corbel"/>
          <w:sz w:val="22"/>
          <w:szCs w:val="22"/>
          <w:lang w:val="en-GB"/>
        </w:rPr>
        <w:t>The points below summarize the main achievements</w:t>
      </w:r>
      <w:r>
        <w:rPr>
          <w:rFonts w:ascii="Corbel" w:hAnsi="Corbel"/>
          <w:sz w:val="22"/>
          <w:szCs w:val="22"/>
          <w:lang w:val="en-GB"/>
        </w:rPr>
        <w:t>, while a</w:t>
      </w:r>
      <w:r w:rsidR="00B554BF" w:rsidRPr="00612518">
        <w:rPr>
          <w:rFonts w:ascii="Corbel" w:hAnsi="Corbel"/>
          <w:sz w:val="22"/>
          <w:szCs w:val="22"/>
          <w:lang w:val="en-GB"/>
        </w:rPr>
        <w:t xml:space="preserve"> detailed case</w:t>
      </w:r>
      <w:r w:rsidR="00B554BF" w:rsidRPr="00612518">
        <w:rPr>
          <w:rFonts w:ascii="Corbel" w:eastAsiaTheme="minorHAnsi" w:hAnsi="Corbel" w:cs="Arial"/>
          <w:sz w:val="22"/>
          <w:szCs w:val="22"/>
          <w:lang w:val="en-GB" w:eastAsia="en-US"/>
        </w:rPr>
        <w:t xml:space="preserve"> study is included as Annex 3.</w:t>
      </w:r>
    </w:p>
    <w:p w14:paraId="4A32C620" w14:textId="11805ECE" w:rsidR="00CA4663" w:rsidRPr="005C5DE2" w:rsidRDefault="00136F1F" w:rsidP="000168EC">
      <w:pPr>
        <w:pStyle w:val="ListParagraph"/>
        <w:numPr>
          <w:ilvl w:val="1"/>
          <w:numId w:val="16"/>
        </w:numPr>
        <w:tabs>
          <w:tab w:val="left" w:pos="540"/>
          <w:tab w:val="left" w:pos="851"/>
        </w:tabs>
        <w:spacing w:line="300" w:lineRule="exact"/>
        <w:jc w:val="both"/>
        <w:rPr>
          <w:rFonts w:ascii="Corbel" w:hAnsi="Corbel"/>
          <w:sz w:val="22"/>
          <w:szCs w:val="22"/>
        </w:rPr>
      </w:pPr>
      <w:r>
        <w:rPr>
          <w:rFonts w:ascii="Corbel" w:eastAsiaTheme="minorHAnsi" w:hAnsi="Corbel" w:cs="Arial"/>
          <w:sz w:val="22"/>
          <w:szCs w:val="22"/>
          <w:lang w:val="en-US" w:eastAsia="en-US"/>
        </w:rPr>
        <w:t>A</w:t>
      </w:r>
      <w:proofErr w:type="spellStart"/>
      <w:r w:rsidR="00CA4663" w:rsidRPr="005C5DE2">
        <w:rPr>
          <w:rFonts w:ascii="Corbel" w:eastAsiaTheme="minorHAnsi" w:hAnsi="Corbel" w:cs="Arial"/>
          <w:sz w:val="22"/>
          <w:szCs w:val="22"/>
          <w:lang w:val="en-GB" w:eastAsia="en-US"/>
        </w:rPr>
        <w:t>ctivation</w:t>
      </w:r>
      <w:proofErr w:type="spellEnd"/>
      <w:r w:rsidR="00CA4663" w:rsidRPr="005C5DE2">
        <w:rPr>
          <w:rFonts w:ascii="Corbel" w:eastAsiaTheme="minorHAnsi" w:hAnsi="Corbel" w:cs="Arial"/>
          <w:sz w:val="22"/>
          <w:szCs w:val="22"/>
          <w:lang w:val="en-GB" w:eastAsia="en-US"/>
        </w:rPr>
        <w:t xml:space="preserve"> of working groups (the Steering Committee and the Task Force of Jordanian Licensing Hub) to implement the Jordan National Single Window </w:t>
      </w:r>
    </w:p>
    <w:p w14:paraId="18E7A706" w14:textId="61713C33" w:rsidR="00CA4663" w:rsidRPr="00FB4C00" w:rsidRDefault="00CA4663" w:rsidP="000168EC">
      <w:pPr>
        <w:pStyle w:val="ListParagraph"/>
        <w:numPr>
          <w:ilvl w:val="1"/>
          <w:numId w:val="16"/>
        </w:numPr>
        <w:tabs>
          <w:tab w:val="left" w:pos="540"/>
          <w:tab w:val="left" w:pos="851"/>
        </w:tabs>
        <w:spacing w:line="300" w:lineRule="exact"/>
        <w:jc w:val="both"/>
        <w:rPr>
          <w:rFonts w:ascii="Corbel" w:hAnsi="Corbel"/>
          <w:sz w:val="22"/>
          <w:szCs w:val="22"/>
        </w:rPr>
      </w:pPr>
      <w:r w:rsidRPr="0090633B">
        <w:rPr>
          <w:rFonts w:ascii="Corbel" w:hAnsi="Corbel"/>
          <w:sz w:val="22"/>
          <w:szCs w:val="22"/>
          <w:lang w:val="en-GB"/>
        </w:rPr>
        <w:t xml:space="preserve">Assistance to the Jordanian Customs in the application of the pre-arrival in Customs clearance of shipments at the Aqaba port. This helped reduce time and costs for border control </w:t>
      </w:r>
      <w:r w:rsidR="00B05844" w:rsidRPr="0090633B">
        <w:rPr>
          <w:rFonts w:ascii="Corbel" w:hAnsi="Corbel"/>
          <w:sz w:val="22"/>
          <w:szCs w:val="22"/>
          <w:lang w:val="en-GB"/>
        </w:rPr>
        <w:t>agencies</w:t>
      </w:r>
      <w:r w:rsidR="00B05844">
        <w:rPr>
          <w:rFonts w:ascii="Corbel" w:hAnsi="Corbel"/>
          <w:sz w:val="22"/>
          <w:szCs w:val="22"/>
          <w:lang w:val="en-GB"/>
        </w:rPr>
        <w:t xml:space="preserve"> </w:t>
      </w:r>
      <w:r w:rsidRPr="0090633B">
        <w:rPr>
          <w:rFonts w:ascii="Corbel" w:hAnsi="Corbel"/>
          <w:sz w:val="22"/>
          <w:szCs w:val="22"/>
          <w:lang w:val="en-GB"/>
        </w:rPr>
        <w:t>while enhancing control effectiveness and saving costs for the private sector (</w:t>
      </w:r>
      <w:r w:rsidR="00B05844" w:rsidRPr="0090633B">
        <w:rPr>
          <w:rFonts w:ascii="Corbel" w:hAnsi="Corbel"/>
          <w:sz w:val="22"/>
          <w:szCs w:val="22"/>
          <w:lang w:val="en-GB"/>
        </w:rPr>
        <w:t>e.g.,</w:t>
      </w:r>
      <w:r w:rsidRPr="0090633B">
        <w:rPr>
          <w:rFonts w:ascii="Corbel" w:hAnsi="Corbel"/>
          <w:sz w:val="22"/>
          <w:szCs w:val="22"/>
          <w:lang w:val="en-GB"/>
        </w:rPr>
        <w:t xml:space="preserve"> reducing storage costs while waiting for the completion of the control procedures). In 2018, the first year of implementation, the Jordan Government documented a reduction by 70 percent of </w:t>
      </w:r>
      <w:r w:rsidR="003B2D1A">
        <w:rPr>
          <w:rFonts w:ascii="Corbel" w:hAnsi="Corbel"/>
          <w:sz w:val="22"/>
          <w:szCs w:val="22"/>
          <w:lang w:val="en-GB"/>
        </w:rPr>
        <w:t xml:space="preserve">the </w:t>
      </w:r>
      <w:r w:rsidRPr="0090633B">
        <w:rPr>
          <w:rFonts w:ascii="Corbel" w:hAnsi="Corbel"/>
          <w:sz w:val="22"/>
          <w:szCs w:val="22"/>
          <w:lang w:val="en-GB"/>
        </w:rPr>
        <w:t>time in clearance for the pilot agencies, which determined the expansion of the methodology application to other agencies in 2019 and 2020.</w:t>
      </w:r>
    </w:p>
    <w:p w14:paraId="45996B69" w14:textId="5925C400" w:rsidR="00FB4C00" w:rsidRPr="0090633B" w:rsidRDefault="0016224C" w:rsidP="000168EC">
      <w:pPr>
        <w:pStyle w:val="ListParagraph"/>
        <w:numPr>
          <w:ilvl w:val="1"/>
          <w:numId w:val="16"/>
        </w:numPr>
        <w:tabs>
          <w:tab w:val="left" w:pos="540"/>
          <w:tab w:val="left" w:pos="851"/>
        </w:tabs>
        <w:spacing w:line="300" w:lineRule="exact"/>
        <w:jc w:val="both"/>
        <w:rPr>
          <w:rFonts w:ascii="Corbel" w:hAnsi="Corbel"/>
          <w:sz w:val="22"/>
          <w:szCs w:val="22"/>
        </w:rPr>
      </w:pPr>
      <w:r>
        <w:rPr>
          <w:rFonts w:ascii="Corbel" w:hAnsi="Corbel"/>
          <w:sz w:val="22"/>
          <w:szCs w:val="22"/>
          <w:lang w:val="en-US"/>
        </w:rPr>
        <w:t>The next phase of the operationalization of the Jordan National Single Window was</w:t>
      </w:r>
      <w:r w:rsidR="00FB4C00" w:rsidRPr="00FB4C00">
        <w:rPr>
          <w:rFonts w:ascii="Corbel" w:hAnsi="Corbel"/>
          <w:sz w:val="22"/>
          <w:szCs w:val="22"/>
          <w:lang w:val="en-US"/>
        </w:rPr>
        <w:t xml:space="preserve"> the development of </w:t>
      </w:r>
      <w:r w:rsidR="00975168">
        <w:rPr>
          <w:rFonts w:ascii="Corbel" w:hAnsi="Corbel"/>
          <w:sz w:val="22"/>
          <w:szCs w:val="22"/>
          <w:lang w:val="en-US"/>
        </w:rPr>
        <w:t xml:space="preserve">the </w:t>
      </w:r>
      <w:r w:rsidR="00FB4C00" w:rsidRPr="00FB4C00">
        <w:rPr>
          <w:rFonts w:ascii="Corbel" w:hAnsi="Corbel"/>
          <w:sz w:val="22"/>
          <w:szCs w:val="22"/>
          <w:lang w:val="en-US"/>
        </w:rPr>
        <w:t>Jordanian Licensing Hub</w:t>
      </w:r>
      <w:r w:rsidR="00975168">
        <w:rPr>
          <w:rFonts w:ascii="Corbel" w:hAnsi="Corbel"/>
          <w:sz w:val="22"/>
          <w:szCs w:val="22"/>
          <w:lang w:val="en-US"/>
        </w:rPr>
        <w:t>, a one-stop-shop where import and export operators could obtain</w:t>
      </w:r>
      <w:r w:rsidR="00A81423">
        <w:rPr>
          <w:rFonts w:ascii="Corbel" w:hAnsi="Corbel"/>
          <w:sz w:val="22"/>
          <w:szCs w:val="22"/>
          <w:lang w:val="en-US"/>
        </w:rPr>
        <w:t xml:space="preserve"> their </w:t>
      </w:r>
      <w:r w:rsidR="00B05844">
        <w:rPr>
          <w:rFonts w:ascii="Corbel" w:hAnsi="Corbel"/>
          <w:sz w:val="22"/>
          <w:szCs w:val="22"/>
          <w:lang w:val="en-US"/>
        </w:rPr>
        <w:t>licensing</w:t>
      </w:r>
      <w:r w:rsidR="00A81423">
        <w:rPr>
          <w:rFonts w:ascii="Corbel" w:hAnsi="Corbel"/>
          <w:sz w:val="22"/>
          <w:szCs w:val="22"/>
          <w:lang w:val="en-US"/>
        </w:rPr>
        <w:t xml:space="preserve"> from most issuing entities within the Jordan government.</w:t>
      </w:r>
      <w:r w:rsidR="00FB4C00" w:rsidRPr="00FB4C00">
        <w:rPr>
          <w:rFonts w:ascii="Corbel" w:hAnsi="Corbel"/>
          <w:sz w:val="22"/>
          <w:szCs w:val="22"/>
          <w:lang w:val="en-US"/>
        </w:rPr>
        <w:t xml:space="preserve"> </w:t>
      </w:r>
      <w:r w:rsidR="005633CF">
        <w:rPr>
          <w:rFonts w:ascii="Corbel" w:hAnsi="Corbel"/>
          <w:sz w:val="22"/>
          <w:szCs w:val="22"/>
          <w:lang w:val="en-US"/>
        </w:rPr>
        <w:t>T</w:t>
      </w:r>
      <w:r w:rsidR="00A860E8">
        <w:rPr>
          <w:rFonts w:ascii="Corbel" w:hAnsi="Corbel"/>
          <w:sz w:val="22"/>
          <w:szCs w:val="22"/>
          <w:lang w:val="en-US"/>
        </w:rPr>
        <w:t>he poor performance of</w:t>
      </w:r>
      <w:r w:rsidR="00011F2B">
        <w:rPr>
          <w:rFonts w:ascii="Corbel" w:hAnsi="Corbel"/>
          <w:sz w:val="22"/>
          <w:szCs w:val="22"/>
          <w:lang w:val="en-US"/>
        </w:rPr>
        <w:t xml:space="preserve"> the</w:t>
      </w:r>
      <w:r w:rsidR="00FB4C00" w:rsidRPr="00FB4C00">
        <w:rPr>
          <w:rFonts w:ascii="Corbel" w:hAnsi="Corbel"/>
          <w:sz w:val="22"/>
          <w:szCs w:val="22"/>
          <w:lang w:val="en-US"/>
        </w:rPr>
        <w:t xml:space="preserve"> initially selected contractor </w:t>
      </w:r>
      <w:r w:rsidR="005633CF">
        <w:rPr>
          <w:rFonts w:ascii="Corbel" w:hAnsi="Corbel"/>
          <w:sz w:val="22"/>
          <w:szCs w:val="22"/>
          <w:lang w:val="en-US"/>
        </w:rPr>
        <w:t>risked</w:t>
      </w:r>
      <w:r w:rsidR="00FB4C00" w:rsidRPr="00FB4C00">
        <w:rPr>
          <w:rFonts w:ascii="Corbel" w:hAnsi="Corbel"/>
          <w:sz w:val="22"/>
          <w:szCs w:val="22"/>
          <w:lang w:val="en-US"/>
        </w:rPr>
        <w:t xml:space="preserve"> compromising the delivery of the digital application. </w:t>
      </w:r>
      <w:r w:rsidR="00212956">
        <w:rPr>
          <w:rFonts w:ascii="Corbel" w:hAnsi="Corbel"/>
          <w:sz w:val="22"/>
          <w:szCs w:val="22"/>
          <w:lang w:val="en-US"/>
        </w:rPr>
        <w:t xml:space="preserve">The selection of </w:t>
      </w:r>
      <w:r w:rsidR="00687FCA">
        <w:rPr>
          <w:rFonts w:ascii="Corbel" w:hAnsi="Corbel"/>
          <w:sz w:val="22"/>
          <w:szCs w:val="22"/>
          <w:lang w:val="en-US"/>
        </w:rPr>
        <w:t>proprie</w:t>
      </w:r>
      <w:r w:rsidR="00143E17">
        <w:rPr>
          <w:rFonts w:ascii="Corbel" w:hAnsi="Corbel"/>
          <w:sz w:val="22"/>
          <w:szCs w:val="22"/>
          <w:lang w:val="en-US"/>
        </w:rPr>
        <w:t xml:space="preserve">tary software </w:t>
      </w:r>
      <w:r w:rsidR="000D5A47">
        <w:rPr>
          <w:rFonts w:ascii="Corbel" w:hAnsi="Corbel"/>
          <w:sz w:val="22"/>
          <w:szCs w:val="22"/>
          <w:lang w:val="en-US"/>
        </w:rPr>
        <w:t>did not enable the necessary</w:t>
      </w:r>
      <w:r w:rsidR="00143E17">
        <w:rPr>
          <w:rFonts w:ascii="Corbel" w:hAnsi="Corbel"/>
          <w:sz w:val="22"/>
          <w:szCs w:val="22"/>
          <w:lang w:val="en-US"/>
        </w:rPr>
        <w:t xml:space="preserve"> </w:t>
      </w:r>
      <w:r w:rsidR="00B05844">
        <w:rPr>
          <w:rFonts w:ascii="Corbel" w:hAnsi="Corbel"/>
          <w:sz w:val="22"/>
          <w:szCs w:val="22"/>
          <w:lang w:val="en-US"/>
        </w:rPr>
        <w:t>customization</w:t>
      </w:r>
      <w:r w:rsidR="00143E17">
        <w:rPr>
          <w:rFonts w:ascii="Corbel" w:hAnsi="Corbel"/>
          <w:sz w:val="22"/>
          <w:szCs w:val="22"/>
          <w:lang w:val="en-US"/>
        </w:rPr>
        <w:t xml:space="preserve"> </w:t>
      </w:r>
      <w:r w:rsidR="00EF608C">
        <w:rPr>
          <w:rFonts w:ascii="Corbel" w:hAnsi="Corbel"/>
          <w:sz w:val="22"/>
          <w:szCs w:val="22"/>
          <w:lang w:val="en-US"/>
        </w:rPr>
        <w:t xml:space="preserve">to the requirements of the Jordanian entities engaged in the initiatives. Learning from this experience, </w:t>
      </w:r>
      <w:r w:rsidR="00FB4C00" w:rsidRPr="00FB4C00">
        <w:rPr>
          <w:rFonts w:ascii="Corbel" w:hAnsi="Corbel"/>
          <w:sz w:val="22"/>
          <w:szCs w:val="22"/>
          <w:lang w:val="en-US"/>
        </w:rPr>
        <w:t xml:space="preserve">UNDP </w:t>
      </w:r>
      <w:r w:rsidR="00B05844">
        <w:rPr>
          <w:rFonts w:ascii="Corbel" w:hAnsi="Corbel"/>
          <w:sz w:val="22"/>
          <w:szCs w:val="22"/>
          <w:lang w:val="en-US"/>
        </w:rPr>
        <w:t>succeeded</w:t>
      </w:r>
      <w:r w:rsidR="00B16BE0">
        <w:rPr>
          <w:rFonts w:ascii="Corbel" w:hAnsi="Corbel"/>
          <w:sz w:val="22"/>
          <w:szCs w:val="22"/>
          <w:lang w:val="en-US"/>
        </w:rPr>
        <w:t xml:space="preserve"> in terminating the contract </w:t>
      </w:r>
      <w:r w:rsidR="00EF608C">
        <w:rPr>
          <w:rFonts w:ascii="Corbel" w:hAnsi="Corbel"/>
          <w:sz w:val="22"/>
          <w:szCs w:val="22"/>
          <w:lang w:val="en-US"/>
        </w:rPr>
        <w:t xml:space="preserve">and </w:t>
      </w:r>
      <w:r w:rsidR="00403932">
        <w:rPr>
          <w:rFonts w:ascii="Corbel" w:hAnsi="Corbel"/>
          <w:sz w:val="22"/>
          <w:szCs w:val="22"/>
          <w:lang w:val="en-US"/>
        </w:rPr>
        <w:t xml:space="preserve">hiring a different local contractor who was able to </w:t>
      </w:r>
      <w:r w:rsidR="00AA3B2D">
        <w:rPr>
          <w:rFonts w:ascii="Corbel" w:hAnsi="Corbel"/>
          <w:sz w:val="22"/>
          <w:szCs w:val="22"/>
          <w:lang w:val="en-US"/>
        </w:rPr>
        <w:t xml:space="preserve">develop an open-source software more responsive to the local needs. </w:t>
      </w:r>
      <w:r w:rsidR="00CC5A1C">
        <w:rPr>
          <w:rFonts w:ascii="Corbel" w:hAnsi="Corbel"/>
          <w:sz w:val="22"/>
          <w:szCs w:val="22"/>
          <w:lang w:val="en-US"/>
        </w:rPr>
        <w:t xml:space="preserve">Despite the delays and the cost of settling the initial contract, the </w:t>
      </w:r>
      <w:r w:rsidR="00B05844">
        <w:rPr>
          <w:rFonts w:ascii="Corbel" w:hAnsi="Corbel"/>
          <w:sz w:val="22"/>
          <w:szCs w:val="22"/>
          <w:lang w:val="en-US"/>
        </w:rPr>
        <w:t>Licensing</w:t>
      </w:r>
      <w:r w:rsidR="00CC5A1C">
        <w:rPr>
          <w:rFonts w:ascii="Corbel" w:hAnsi="Corbel"/>
          <w:sz w:val="22"/>
          <w:szCs w:val="22"/>
          <w:lang w:val="en-US"/>
        </w:rPr>
        <w:t xml:space="preserve"> Hubs was completed by the project termination in March 2021</w:t>
      </w:r>
      <w:r w:rsidR="00794696">
        <w:rPr>
          <w:rFonts w:ascii="Corbel" w:hAnsi="Corbel"/>
          <w:sz w:val="22"/>
          <w:szCs w:val="22"/>
          <w:lang w:val="en-US"/>
        </w:rPr>
        <w:t>, with no additional costs</w:t>
      </w:r>
      <w:r w:rsidR="00FB4C00" w:rsidRPr="00FB4C00">
        <w:rPr>
          <w:rFonts w:ascii="Corbel" w:hAnsi="Corbel"/>
          <w:sz w:val="22"/>
          <w:szCs w:val="22"/>
          <w:lang w:val="en-US"/>
        </w:rPr>
        <w:t>.</w:t>
      </w:r>
      <w:r w:rsidR="00794696">
        <w:rPr>
          <w:rStyle w:val="FootnoteReference"/>
          <w:rFonts w:ascii="Corbel" w:hAnsi="Corbel"/>
          <w:sz w:val="22"/>
          <w:szCs w:val="22"/>
          <w:lang w:val="en-US"/>
        </w:rPr>
        <w:footnoteReference w:id="29"/>
      </w:r>
    </w:p>
    <w:p w14:paraId="4969B4AD" w14:textId="521BD136" w:rsidR="007B3001" w:rsidRPr="000C3CD0" w:rsidRDefault="00136F1F" w:rsidP="000168EC">
      <w:pPr>
        <w:pStyle w:val="ListParagraph"/>
        <w:numPr>
          <w:ilvl w:val="0"/>
          <w:numId w:val="16"/>
        </w:numPr>
        <w:tabs>
          <w:tab w:val="left" w:pos="540"/>
          <w:tab w:val="left" w:pos="567"/>
        </w:tabs>
        <w:spacing w:line="300" w:lineRule="exact"/>
        <w:jc w:val="both"/>
        <w:rPr>
          <w:rFonts w:ascii="Corbel" w:hAnsi="Corbel"/>
          <w:sz w:val="22"/>
          <w:szCs w:val="22"/>
        </w:rPr>
      </w:pPr>
      <w:r>
        <w:rPr>
          <w:rFonts w:ascii="Corbel" w:hAnsi="Corbel"/>
          <w:bCs/>
          <w:sz w:val="22"/>
          <w:szCs w:val="22"/>
          <w:lang w:val="en-US"/>
        </w:rPr>
        <w:t>T</w:t>
      </w:r>
      <w:r w:rsidR="00653FCC" w:rsidRPr="000C3CD0">
        <w:rPr>
          <w:rFonts w:ascii="Corbel" w:hAnsi="Corbel"/>
          <w:bCs/>
          <w:sz w:val="22"/>
          <w:szCs w:val="22"/>
          <w:lang w:val="en-GB"/>
        </w:rPr>
        <w:t xml:space="preserve">he development of a draft Memorandum of Understanding for Authorized Economic Operators </w:t>
      </w:r>
      <w:r w:rsidR="007B3001" w:rsidRPr="000C3CD0">
        <w:rPr>
          <w:rFonts w:ascii="Corbel" w:hAnsi="Corbel"/>
          <w:bCs/>
          <w:sz w:val="22"/>
          <w:szCs w:val="22"/>
          <w:lang w:val="en-GB"/>
        </w:rPr>
        <w:t>(AEOs)</w:t>
      </w:r>
      <w:r>
        <w:rPr>
          <w:rFonts w:ascii="Corbel" w:hAnsi="Corbel"/>
          <w:bCs/>
          <w:sz w:val="22"/>
          <w:szCs w:val="22"/>
          <w:lang w:val="en-GB"/>
        </w:rPr>
        <w:t xml:space="preserve">, </w:t>
      </w:r>
      <w:r w:rsidRPr="000C3CD0">
        <w:rPr>
          <w:rFonts w:ascii="Corbel" w:hAnsi="Corbel"/>
          <w:bCs/>
          <w:sz w:val="22"/>
          <w:szCs w:val="22"/>
          <w:lang w:val="en-GB"/>
        </w:rPr>
        <w:t>based on practical experience applied in the regional context through the Jordan National Single Window,</w:t>
      </w:r>
      <w:r w:rsidR="007B3001" w:rsidRPr="000C3CD0">
        <w:rPr>
          <w:rFonts w:ascii="Corbel" w:hAnsi="Corbel"/>
          <w:bCs/>
          <w:sz w:val="22"/>
          <w:szCs w:val="22"/>
          <w:lang w:val="en-GB"/>
        </w:rPr>
        <w:t xml:space="preserve"> </w:t>
      </w:r>
      <w:r w:rsidR="000C6EF6" w:rsidRPr="000C3CD0">
        <w:rPr>
          <w:rFonts w:ascii="Corbel" w:hAnsi="Corbel"/>
          <w:bCs/>
          <w:sz w:val="22"/>
          <w:szCs w:val="22"/>
          <w:lang w:val="en-GB"/>
        </w:rPr>
        <w:t xml:space="preserve">was scaled at the regional level </w:t>
      </w:r>
      <w:r w:rsidR="007B3001" w:rsidRPr="000C3CD0">
        <w:rPr>
          <w:rFonts w:ascii="Corbel" w:hAnsi="Corbel"/>
          <w:bCs/>
          <w:sz w:val="22"/>
          <w:szCs w:val="22"/>
          <w:lang w:val="en-GB"/>
        </w:rPr>
        <w:t xml:space="preserve">in close coordination with the Arab Economic Department at </w:t>
      </w:r>
      <w:r w:rsidR="00757104" w:rsidRPr="000C3CD0">
        <w:rPr>
          <w:rFonts w:ascii="Corbel" w:hAnsi="Corbel"/>
          <w:bCs/>
          <w:sz w:val="22"/>
          <w:szCs w:val="22"/>
          <w:lang w:val="en-GB"/>
        </w:rPr>
        <w:t>LAS and</w:t>
      </w:r>
      <w:r w:rsidR="002100F0" w:rsidRPr="000C3CD0">
        <w:rPr>
          <w:rFonts w:ascii="Corbel" w:hAnsi="Corbel"/>
          <w:bCs/>
          <w:sz w:val="22"/>
          <w:szCs w:val="22"/>
          <w:lang w:val="en-GB"/>
        </w:rPr>
        <w:t xml:space="preserve"> shared with other Arab countries</w:t>
      </w:r>
      <w:r>
        <w:rPr>
          <w:rFonts w:ascii="Corbel" w:hAnsi="Corbel"/>
          <w:bCs/>
          <w:sz w:val="22"/>
          <w:szCs w:val="22"/>
          <w:lang w:val="en-GB"/>
        </w:rPr>
        <w:t>.</w:t>
      </w:r>
    </w:p>
    <w:p w14:paraId="09FF4C27" w14:textId="5FC80800" w:rsidR="00CA4663" w:rsidRPr="005372A4" w:rsidRDefault="00CA4663" w:rsidP="000168EC">
      <w:pPr>
        <w:pStyle w:val="ListParagraph"/>
        <w:numPr>
          <w:ilvl w:val="0"/>
          <w:numId w:val="16"/>
        </w:numPr>
        <w:tabs>
          <w:tab w:val="left" w:pos="540"/>
          <w:tab w:val="left" w:pos="567"/>
        </w:tabs>
        <w:spacing w:line="300" w:lineRule="exact"/>
        <w:jc w:val="both"/>
        <w:rPr>
          <w:rFonts w:ascii="Corbel" w:hAnsi="Corbel"/>
          <w:sz w:val="22"/>
          <w:szCs w:val="22"/>
        </w:rPr>
      </w:pPr>
      <w:r w:rsidRPr="4F6DD0A6">
        <w:rPr>
          <w:rFonts w:ascii="Corbel" w:hAnsi="Corbel"/>
          <w:sz w:val="22"/>
          <w:szCs w:val="22"/>
          <w:lang w:val="en-GB"/>
        </w:rPr>
        <w:t xml:space="preserve">Promoting sharing of experiences among LAS member states through South-South cooperation exchanges, a capacity development workshop for the </w:t>
      </w:r>
      <w:r w:rsidR="00757104" w:rsidRPr="4F6DD0A6">
        <w:rPr>
          <w:rFonts w:ascii="Corbel" w:hAnsi="Corbel"/>
          <w:sz w:val="22"/>
          <w:szCs w:val="22"/>
          <w:lang w:val="en-GB"/>
        </w:rPr>
        <w:t>Palestine</w:t>
      </w:r>
      <w:r w:rsidRPr="4F6DD0A6">
        <w:rPr>
          <w:rFonts w:ascii="Corbel" w:hAnsi="Corbel"/>
          <w:sz w:val="22"/>
          <w:szCs w:val="22"/>
          <w:lang w:val="en-GB"/>
        </w:rPr>
        <w:t xml:space="preserve"> Customs was organised in Amman under the aegis of the Jordanian Customs, where Palestinian officers learned </w:t>
      </w:r>
      <w:r w:rsidR="00757104" w:rsidRPr="4F6DD0A6">
        <w:rPr>
          <w:rFonts w:ascii="Corbel" w:hAnsi="Corbel"/>
          <w:sz w:val="22"/>
          <w:szCs w:val="22"/>
          <w:lang w:val="en-GB"/>
        </w:rPr>
        <w:t>first-hand</w:t>
      </w:r>
      <w:r w:rsidRPr="4F6DD0A6">
        <w:rPr>
          <w:rFonts w:ascii="Corbel" w:hAnsi="Corbel"/>
          <w:sz w:val="22"/>
          <w:szCs w:val="22"/>
          <w:lang w:val="en-GB"/>
        </w:rPr>
        <w:t xml:space="preserve"> from the Jordanian experiences of Authorized Economic Operators (Gold Card Programme for the private sector) and the development of the National Single Window and its operationalization through the Jordanian Licensing Hub.</w:t>
      </w:r>
    </w:p>
    <w:p w14:paraId="221925C6" w14:textId="77777777" w:rsidR="00CA4663" w:rsidRPr="005372A4" w:rsidRDefault="00CA4663" w:rsidP="000168EC">
      <w:pPr>
        <w:pStyle w:val="ListParagraph"/>
        <w:numPr>
          <w:ilvl w:val="0"/>
          <w:numId w:val="16"/>
        </w:numPr>
        <w:tabs>
          <w:tab w:val="left" w:pos="540"/>
          <w:tab w:val="left" w:pos="567"/>
        </w:tabs>
        <w:spacing w:line="300" w:lineRule="exact"/>
        <w:jc w:val="both"/>
        <w:rPr>
          <w:rFonts w:ascii="Corbel" w:hAnsi="Corbel"/>
          <w:sz w:val="22"/>
          <w:szCs w:val="22"/>
        </w:rPr>
      </w:pPr>
      <w:r w:rsidRPr="005372A4">
        <w:rPr>
          <w:rFonts w:ascii="Corbel" w:hAnsi="Corbel"/>
          <w:sz w:val="22"/>
          <w:szCs w:val="22"/>
          <w:lang w:val="en-GB"/>
        </w:rPr>
        <w:t xml:space="preserve">In Lebanon, a study on the legal foundations for e-Commerce and automation, based on UNECE international instruments, informed the reform and modernization of the Lebanese Customs and </w:t>
      </w:r>
      <w:r w:rsidRPr="005372A4">
        <w:rPr>
          <w:rFonts w:ascii="Corbel" w:hAnsi="Corbel"/>
          <w:sz w:val="22"/>
          <w:szCs w:val="22"/>
          <w:lang w:val="en-GB"/>
        </w:rPr>
        <w:lastRenderedPageBreak/>
        <w:t xml:space="preserve">related agencies. The study reviewed several Lebanese initiatives and national regulations concerning telecommunication operations, including those related to the needed reform of the legal framework to allow competition-based efficiency and the required investment for upgrading the outdated telecommunication infrastructure. </w:t>
      </w:r>
    </w:p>
    <w:p w14:paraId="550E6A37" w14:textId="211505C7" w:rsidR="00522563" w:rsidRPr="005372A4" w:rsidRDefault="00CA4663" w:rsidP="000168EC">
      <w:pPr>
        <w:pStyle w:val="ListParagraph"/>
        <w:numPr>
          <w:ilvl w:val="0"/>
          <w:numId w:val="16"/>
        </w:numPr>
        <w:tabs>
          <w:tab w:val="left" w:pos="540"/>
          <w:tab w:val="left" w:pos="567"/>
        </w:tabs>
        <w:spacing w:line="300" w:lineRule="exact"/>
        <w:jc w:val="both"/>
        <w:rPr>
          <w:rFonts w:ascii="Corbel" w:hAnsi="Corbel"/>
          <w:sz w:val="22"/>
          <w:szCs w:val="22"/>
        </w:rPr>
      </w:pPr>
      <w:r w:rsidRPr="005372A4">
        <w:rPr>
          <w:rFonts w:ascii="Corbel" w:eastAsiaTheme="minorHAnsi" w:hAnsi="Corbel" w:cs="Arial"/>
          <w:sz w:val="22"/>
          <w:szCs w:val="22"/>
          <w:lang w:val="en-GB" w:eastAsia="en-US"/>
        </w:rPr>
        <w:t xml:space="preserve">A joint working group of Egyptian and Jordanian Customs and concerned agencies for the trade/transport corridor of </w:t>
      </w:r>
      <w:proofErr w:type="spellStart"/>
      <w:r w:rsidRPr="005372A4">
        <w:rPr>
          <w:rFonts w:ascii="Corbel" w:eastAsiaTheme="minorHAnsi" w:hAnsi="Corbel" w:cs="Arial"/>
          <w:sz w:val="22"/>
          <w:szCs w:val="22"/>
          <w:lang w:val="en-GB" w:eastAsia="en-US"/>
        </w:rPr>
        <w:t>Nuweibae</w:t>
      </w:r>
      <w:proofErr w:type="spellEnd"/>
      <w:r w:rsidRPr="005372A4">
        <w:rPr>
          <w:rFonts w:ascii="Corbel" w:eastAsiaTheme="minorHAnsi" w:hAnsi="Corbel" w:cs="Arial"/>
          <w:sz w:val="22"/>
          <w:szCs w:val="22"/>
          <w:lang w:val="en-GB" w:eastAsia="en-US"/>
        </w:rPr>
        <w:t xml:space="preserve"> and Aqaba</w:t>
      </w:r>
      <w:r w:rsidR="00DC65DA" w:rsidRPr="005372A4">
        <w:rPr>
          <w:rFonts w:ascii="Corbel" w:eastAsiaTheme="minorHAnsi" w:hAnsi="Corbel" w:cs="Arial"/>
          <w:sz w:val="22"/>
          <w:szCs w:val="22"/>
          <w:lang w:val="en-GB" w:eastAsia="en-US"/>
        </w:rPr>
        <w:t xml:space="preserve"> was established but put on hold at the onset of the Covid-19 pandemic-related restrictions.</w:t>
      </w:r>
    </w:p>
    <w:p w14:paraId="35045B05" w14:textId="673E0C38" w:rsidR="00CA4663" w:rsidRPr="005372A4" w:rsidRDefault="00CA4663" w:rsidP="000168EC">
      <w:pPr>
        <w:pStyle w:val="ListParagraph"/>
        <w:numPr>
          <w:ilvl w:val="0"/>
          <w:numId w:val="16"/>
        </w:numPr>
        <w:tabs>
          <w:tab w:val="left" w:pos="540"/>
          <w:tab w:val="left" w:pos="567"/>
        </w:tabs>
        <w:spacing w:line="300" w:lineRule="exact"/>
        <w:jc w:val="both"/>
        <w:rPr>
          <w:rFonts w:ascii="Corbel" w:hAnsi="Corbel"/>
          <w:sz w:val="22"/>
          <w:szCs w:val="22"/>
        </w:rPr>
      </w:pPr>
      <w:r w:rsidRPr="4F6DD0A6">
        <w:rPr>
          <w:rFonts w:ascii="Corbel" w:hAnsi="Corbel" w:cstheme="minorBidi"/>
          <w:sz w:val="22"/>
          <w:szCs w:val="22"/>
        </w:rPr>
        <w:t xml:space="preserve">The project also tried to extend its support to Least Developed Countries, those who were facing most challenges in </w:t>
      </w:r>
      <w:r w:rsidR="00757104" w:rsidRPr="4F6DD0A6">
        <w:rPr>
          <w:rFonts w:ascii="Corbel" w:hAnsi="Corbel" w:cstheme="minorBidi"/>
          <w:sz w:val="22"/>
          <w:szCs w:val="22"/>
        </w:rPr>
        <w:t>complying</w:t>
      </w:r>
      <w:r w:rsidRPr="4F6DD0A6">
        <w:rPr>
          <w:rFonts w:ascii="Corbel" w:hAnsi="Corbel" w:cstheme="minorBidi"/>
          <w:sz w:val="22"/>
          <w:szCs w:val="22"/>
        </w:rPr>
        <w:t xml:space="preserve"> with </w:t>
      </w:r>
      <w:r w:rsidR="00757104" w:rsidRPr="4F6DD0A6">
        <w:rPr>
          <w:rFonts w:ascii="Corbel" w:hAnsi="Corbel" w:cstheme="minorBidi"/>
          <w:sz w:val="22"/>
          <w:szCs w:val="22"/>
        </w:rPr>
        <w:t>international</w:t>
      </w:r>
      <w:r w:rsidRPr="4F6DD0A6">
        <w:rPr>
          <w:rFonts w:ascii="Corbel" w:hAnsi="Corbel" w:cstheme="minorBidi"/>
          <w:sz w:val="22"/>
          <w:szCs w:val="22"/>
        </w:rPr>
        <w:t xml:space="preserve"> WTO trade standards and with the terms of PAFTA. Contacts were initiated with the Government of Sudan for the </w:t>
      </w:r>
      <w:r w:rsidRPr="4F6DD0A6">
        <w:rPr>
          <w:rFonts w:ascii="Corbel" w:hAnsi="Corbel" w:cstheme="minorBidi"/>
          <w:sz w:val="22"/>
          <w:szCs w:val="22"/>
          <w:lang w:val="en-GB"/>
        </w:rPr>
        <w:t>development of the Roadmap of Sudanese Single Window since 2020. Nevertheless, the initiative was put on old due to several delays caused by political instability and logistical challenges of organising virtual training in a country with limited IT infrastructure.</w:t>
      </w:r>
    </w:p>
    <w:p w14:paraId="2DE043CE" w14:textId="77777777" w:rsidR="00CA4663" w:rsidRPr="00CF07FB" w:rsidRDefault="00CA4663" w:rsidP="00CF07FB">
      <w:pPr>
        <w:tabs>
          <w:tab w:val="left" w:pos="540"/>
          <w:tab w:val="left" w:pos="4680"/>
        </w:tabs>
        <w:spacing w:line="300" w:lineRule="exact"/>
        <w:jc w:val="both"/>
        <w:rPr>
          <w:rFonts w:ascii="Corbel" w:hAnsi="Corbel"/>
          <w:b/>
          <w:bCs/>
          <w:sz w:val="22"/>
          <w:szCs w:val="22"/>
          <w:lang w:val="en-GB"/>
        </w:rPr>
      </w:pPr>
    </w:p>
    <w:tbl>
      <w:tblPr>
        <w:tblW w:w="10137" w:type="dxa"/>
        <w:jc w:val="center"/>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Look w:val="04A0" w:firstRow="1" w:lastRow="0" w:firstColumn="1" w:lastColumn="0" w:noHBand="0" w:noVBand="1"/>
      </w:tblPr>
      <w:tblGrid>
        <w:gridCol w:w="2997"/>
        <w:gridCol w:w="3089"/>
        <w:gridCol w:w="4036"/>
        <w:gridCol w:w="15"/>
      </w:tblGrid>
      <w:tr w:rsidR="00270A41" w:rsidRPr="0003093F" w14:paraId="0B8DCF81" w14:textId="77777777" w:rsidTr="00E800AC">
        <w:trPr>
          <w:trHeight w:val="412"/>
          <w:jc w:val="center"/>
        </w:trPr>
        <w:tc>
          <w:tcPr>
            <w:tcW w:w="10137" w:type="dxa"/>
            <w:gridSpan w:val="4"/>
            <w:shd w:val="clear" w:color="auto" w:fill="0070C0"/>
          </w:tcPr>
          <w:p w14:paraId="7BCD3C43" w14:textId="2E4597DC" w:rsidR="00270A41" w:rsidRPr="0003093F" w:rsidRDefault="00270A41" w:rsidP="00275B21">
            <w:pPr>
              <w:jc w:val="both"/>
              <w:rPr>
                <w:rFonts w:ascii="Corbel" w:eastAsia="Times New Roman" w:hAnsi="Corbel"/>
                <w:color w:val="000000"/>
                <w:sz w:val="21"/>
                <w:szCs w:val="21"/>
                <w:lang w:val="en-GB"/>
              </w:rPr>
            </w:pPr>
            <w:r w:rsidRPr="0003093F">
              <w:rPr>
                <w:rFonts w:ascii="Corbel" w:hAnsi="Corbel" w:cs="Arial"/>
                <w:b/>
                <w:color w:val="FFFFFF"/>
                <w:sz w:val="21"/>
                <w:szCs w:val="21"/>
                <w:lang w:val="en-GB" w:eastAsia="en-US"/>
              </w:rPr>
              <w:t xml:space="preserve">Project Output 4: </w:t>
            </w:r>
            <w:r w:rsidRPr="0003093F">
              <w:rPr>
                <w:rFonts w:ascii="Corbel" w:hAnsi="Corbel" w:cs="Arial"/>
                <w:b/>
                <w:bCs/>
                <w:color w:val="FFFFFF"/>
                <w:sz w:val="21"/>
                <w:szCs w:val="21"/>
                <w:lang w:val="en-GB" w:eastAsia="en-US"/>
              </w:rPr>
              <w:t>Provision of country based technical assistance to policy makers for the modernization of the supply/value chain in preparation for the Arab Customs Union (ACU)</w:t>
            </w:r>
          </w:p>
        </w:tc>
      </w:tr>
      <w:tr w:rsidR="00270A41" w:rsidRPr="0003093F" w14:paraId="47C7EE00" w14:textId="77777777" w:rsidTr="00E800AC">
        <w:trPr>
          <w:gridAfter w:val="1"/>
          <w:wAfter w:w="15" w:type="dxa"/>
          <w:trHeight w:val="412"/>
          <w:jc w:val="center"/>
        </w:trPr>
        <w:tc>
          <w:tcPr>
            <w:tcW w:w="2997" w:type="dxa"/>
            <w:shd w:val="clear" w:color="auto" w:fill="auto"/>
          </w:tcPr>
          <w:p w14:paraId="6A739D28" w14:textId="784EBF4C" w:rsidR="00270A41" w:rsidRPr="0003093F" w:rsidRDefault="00270A41" w:rsidP="00112082">
            <w:pPr>
              <w:widowControl w:val="0"/>
              <w:spacing w:line="288" w:lineRule="auto"/>
              <w:ind w:left="99"/>
              <w:contextualSpacing/>
              <w:jc w:val="both"/>
              <w:outlineLvl w:val="0"/>
              <w:rPr>
                <w:rFonts w:ascii="Corbel" w:eastAsia="Times New Roman" w:hAnsi="Corbel" w:cs="Arial"/>
                <w:b/>
                <w:sz w:val="21"/>
                <w:szCs w:val="21"/>
                <w:lang w:val="en-GB" w:eastAsia="en-US"/>
              </w:rPr>
            </w:pPr>
            <w:bookmarkStart w:id="171" w:name="_Toc103506705"/>
            <w:r w:rsidRPr="0003093F">
              <w:rPr>
                <w:rFonts w:ascii="Corbel" w:eastAsia="Times New Roman" w:hAnsi="Corbel" w:cs="Arial"/>
                <w:b/>
                <w:sz w:val="21"/>
                <w:szCs w:val="21"/>
                <w:lang w:val="en-GB" w:eastAsia="en-US"/>
              </w:rPr>
              <w:t>Output indicators</w:t>
            </w:r>
            <w:bookmarkEnd w:id="171"/>
          </w:p>
        </w:tc>
        <w:tc>
          <w:tcPr>
            <w:tcW w:w="3089" w:type="dxa"/>
            <w:shd w:val="clear" w:color="auto" w:fill="auto"/>
          </w:tcPr>
          <w:p w14:paraId="7060FB25" w14:textId="194393F8" w:rsidR="00270A41" w:rsidRPr="0003093F" w:rsidRDefault="006044E3" w:rsidP="00275B21">
            <w:pPr>
              <w:widowControl w:val="0"/>
              <w:spacing w:line="288" w:lineRule="auto"/>
              <w:ind w:left="99"/>
              <w:contextualSpacing/>
              <w:jc w:val="both"/>
              <w:outlineLvl w:val="0"/>
              <w:rPr>
                <w:rFonts w:ascii="Corbel" w:eastAsia="Times New Roman" w:hAnsi="Corbel" w:cs="Arial"/>
                <w:b/>
                <w:sz w:val="21"/>
                <w:szCs w:val="21"/>
                <w:lang w:val="en-GB" w:eastAsia="en-US"/>
              </w:rPr>
            </w:pPr>
            <w:bookmarkStart w:id="172" w:name="_Toc103506706"/>
            <w:r w:rsidRPr="0003093F">
              <w:rPr>
                <w:rFonts w:ascii="Corbel" w:eastAsia="Times New Roman" w:hAnsi="Corbel" w:cs="Arial"/>
                <w:b/>
                <w:sz w:val="21"/>
                <w:szCs w:val="21"/>
                <w:lang w:val="en-GB" w:eastAsia="en-US"/>
              </w:rPr>
              <w:t xml:space="preserve">Baselines &amp; </w:t>
            </w:r>
            <w:r w:rsidR="00270A41" w:rsidRPr="0003093F">
              <w:rPr>
                <w:rFonts w:ascii="Corbel" w:eastAsia="Times New Roman" w:hAnsi="Corbel" w:cs="Arial"/>
                <w:b/>
                <w:sz w:val="21"/>
                <w:szCs w:val="21"/>
                <w:lang w:val="en-GB" w:eastAsia="en-US"/>
              </w:rPr>
              <w:t>Targets</w:t>
            </w:r>
            <w:bookmarkEnd w:id="172"/>
            <w:r w:rsidR="00270A41" w:rsidRPr="0003093F">
              <w:rPr>
                <w:rFonts w:ascii="Corbel" w:eastAsia="Times New Roman" w:hAnsi="Corbel" w:cs="Arial"/>
                <w:b/>
                <w:sz w:val="21"/>
                <w:szCs w:val="21"/>
                <w:lang w:val="en-GB" w:eastAsia="en-US"/>
              </w:rPr>
              <w:t xml:space="preserve"> </w:t>
            </w:r>
          </w:p>
        </w:tc>
        <w:tc>
          <w:tcPr>
            <w:tcW w:w="4036" w:type="dxa"/>
            <w:shd w:val="clear" w:color="auto" w:fill="auto"/>
          </w:tcPr>
          <w:p w14:paraId="538F9EB2" w14:textId="77777777" w:rsidR="00270A41" w:rsidRPr="0003093F" w:rsidRDefault="00270A41" w:rsidP="00275B21">
            <w:pPr>
              <w:widowControl w:val="0"/>
              <w:spacing w:line="288" w:lineRule="auto"/>
              <w:ind w:left="99"/>
              <w:contextualSpacing/>
              <w:jc w:val="both"/>
              <w:outlineLvl w:val="0"/>
              <w:rPr>
                <w:rFonts w:ascii="Corbel" w:eastAsia="Times New Roman" w:hAnsi="Corbel" w:cs="Arial"/>
                <w:b/>
                <w:sz w:val="21"/>
                <w:szCs w:val="21"/>
                <w:lang w:val="en-GB" w:eastAsia="en-US"/>
              </w:rPr>
            </w:pPr>
            <w:bookmarkStart w:id="173" w:name="_Toc103506707"/>
            <w:r w:rsidRPr="0003093F">
              <w:rPr>
                <w:rFonts w:ascii="Corbel" w:eastAsia="Times New Roman" w:hAnsi="Corbel" w:cs="Arial"/>
                <w:b/>
                <w:sz w:val="21"/>
                <w:szCs w:val="21"/>
                <w:lang w:val="en-GB" w:eastAsia="en-US"/>
              </w:rPr>
              <w:t>Progress against targets</w:t>
            </w:r>
            <w:bookmarkEnd w:id="173"/>
          </w:p>
        </w:tc>
      </w:tr>
      <w:tr w:rsidR="00327590" w:rsidRPr="0003093F" w14:paraId="4A1BCD71" w14:textId="77777777" w:rsidTr="00E800AC">
        <w:trPr>
          <w:gridAfter w:val="1"/>
          <w:wAfter w:w="15" w:type="dxa"/>
          <w:trHeight w:val="412"/>
          <w:jc w:val="center"/>
        </w:trPr>
        <w:tc>
          <w:tcPr>
            <w:tcW w:w="2997" w:type="dxa"/>
            <w:shd w:val="clear" w:color="auto" w:fill="auto"/>
          </w:tcPr>
          <w:p w14:paraId="17E51E66" w14:textId="0E835807" w:rsidR="00327590" w:rsidRPr="0003093F" w:rsidRDefault="00327590" w:rsidP="00D64E69">
            <w:pPr>
              <w:spacing w:before="120" w:line="280" w:lineRule="exact"/>
              <w:rPr>
                <w:rFonts w:ascii="Corbel" w:eastAsia="Times New Roman" w:hAnsi="Corbel" w:cs="Arial"/>
                <w:sz w:val="20"/>
                <w:szCs w:val="20"/>
                <w:lang w:val="en-GB" w:eastAsia="en-US"/>
              </w:rPr>
            </w:pPr>
            <w:r w:rsidRPr="0003093F">
              <w:rPr>
                <w:rFonts w:ascii="Corbel" w:hAnsi="Corbel" w:cstheme="minorHAnsi"/>
                <w:sz w:val="20"/>
                <w:szCs w:val="20"/>
                <w:u w:val="single"/>
                <w:lang w:val="en-GB"/>
              </w:rPr>
              <w:t>Indicator 4.1</w:t>
            </w:r>
            <w:r w:rsidRPr="0003093F">
              <w:rPr>
                <w:rFonts w:ascii="Corbel" w:hAnsi="Corbel" w:cstheme="minorHAnsi"/>
                <w:sz w:val="20"/>
                <w:szCs w:val="20"/>
                <w:lang w:val="en-GB"/>
              </w:rPr>
              <w:t>: Presence of international standards, good practices</w:t>
            </w:r>
            <w:r w:rsidR="003B36D7" w:rsidRPr="0003093F">
              <w:rPr>
                <w:rFonts w:ascii="Corbel" w:hAnsi="Corbel" w:cstheme="minorHAnsi"/>
                <w:sz w:val="20"/>
                <w:szCs w:val="20"/>
                <w:lang w:val="en-GB"/>
              </w:rPr>
              <w:t xml:space="preserve"> and</w:t>
            </w:r>
            <w:r w:rsidRPr="0003093F">
              <w:rPr>
                <w:rFonts w:ascii="Corbel" w:hAnsi="Corbel" w:cstheme="minorHAnsi"/>
                <w:sz w:val="20"/>
                <w:szCs w:val="20"/>
                <w:lang w:val="en-GB"/>
              </w:rPr>
              <w:t xml:space="preserve"> procedures related to trade and transport facilitation, into national legislations. </w:t>
            </w:r>
          </w:p>
        </w:tc>
        <w:tc>
          <w:tcPr>
            <w:tcW w:w="3089" w:type="dxa"/>
            <w:shd w:val="clear" w:color="auto" w:fill="auto"/>
          </w:tcPr>
          <w:p w14:paraId="01FDEEB8" w14:textId="77777777" w:rsidR="006044E3" w:rsidRPr="0003093F" w:rsidRDefault="006044E3" w:rsidP="00D64E69">
            <w:pPr>
              <w:widowControl w:val="0"/>
              <w:spacing w:before="120" w:line="280" w:lineRule="exact"/>
              <w:jc w:val="both"/>
              <w:outlineLvl w:val="0"/>
              <w:rPr>
                <w:rFonts w:ascii="Corbel" w:hAnsi="Corbel" w:cstheme="minorHAnsi"/>
                <w:sz w:val="20"/>
                <w:szCs w:val="20"/>
                <w:lang w:val="en-GB"/>
              </w:rPr>
            </w:pPr>
            <w:bookmarkStart w:id="174" w:name="_Toc103506708"/>
            <w:r w:rsidRPr="0003093F">
              <w:rPr>
                <w:rFonts w:ascii="Corbel" w:hAnsi="Corbel" w:cstheme="minorHAnsi"/>
                <w:sz w:val="20"/>
                <w:szCs w:val="20"/>
                <w:u w:val="single"/>
                <w:lang w:val="en-GB"/>
              </w:rPr>
              <w:t>Baseline 4.1:</w:t>
            </w:r>
            <w:r w:rsidRPr="0003093F">
              <w:rPr>
                <w:rFonts w:ascii="Corbel" w:hAnsi="Corbel" w:cstheme="minorHAnsi"/>
                <w:sz w:val="20"/>
                <w:szCs w:val="20"/>
                <w:lang w:val="en-GB"/>
              </w:rPr>
              <w:t xml:space="preserve"> Low level of commitments among LAS member states to the provisions under the WTO Trade Facilitation Agreement.</w:t>
            </w:r>
            <w:bookmarkEnd w:id="174"/>
          </w:p>
          <w:p w14:paraId="41A605E7" w14:textId="77777777" w:rsidR="006044E3" w:rsidRPr="0003093F" w:rsidRDefault="006044E3" w:rsidP="00D64E69">
            <w:pPr>
              <w:widowControl w:val="0"/>
              <w:spacing w:before="120" w:line="280" w:lineRule="exact"/>
              <w:jc w:val="both"/>
              <w:outlineLvl w:val="0"/>
              <w:rPr>
                <w:rFonts w:ascii="Corbel" w:hAnsi="Corbel" w:cstheme="minorHAnsi"/>
                <w:sz w:val="20"/>
                <w:szCs w:val="20"/>
                <w:lang w:val="en-GB"/>
              </w:rPr>
            </w:pPr>
          </w:p>
          <w:p w14:paraId="7FA0612B" w14:textId="6E6780CF" w:rsidR="00112082" w:rsidRPr="0003093F" w:rsidRDefault="00327590" w:rsidP="00D64E69">
            <w:pPr>
              <w:widowControl w:val="0"/>
              <w:spacing w:before="120" w:line="280" w:lineRule="exact"/>
              <w:jc w:val="both"/>
              <w:outlineLvl w:val="0"/>
              <w:rPr>
                <w:rFonts w:ascii="Corbel" w:hAnsi="Corbel" w:cstheme="minorHAnsi"/>
                <w:sz w:val="20"/>
                <w:szCs w:val="20"/>
                <w:lang w:val="en-GB"/>
              </w:rPr>
            </w:pPr>
            <w:bookmarkStart w:id="175" w:name="_Toc103506709"/>
            <w:r w:rsidRPr="0003093F">
              <w:rPr>
                <w:rFonts w:ascii="Corbel" w:hAnsi="Corbel" w:cstheme="minorHAnsi"/>
                <w:sz w:val="20"/>
                <w:szCs w:val="20"/>
                <w:u w:val="single"/>
                <w:lang w:val="en-GB"/>
              </w:rPr>
              <w:t>Target 4.1:</w:t>
            </w:r>
            <w:r w:rsidRPr="0003093F">
              <w:rPr>
                <w:rFonts w:ascii="Corbel" w:hAnsi="Corbel" w:cstheme="minorHAnsi"/>
                <w:sz w:val="20"/>
                <w:szCs w:val="20"/>
                <w:lang w:val="en-GB"/>
              </w:rPr>
              <w:t xml:space="preserve"> </w:t>
            </w:r>
            <w:r w:rsidR="003D2FCC" w:rsidRPr="0003093F">
              <w:rPr>
                <w:rFonts w:ascii="Corbel" w:hAnsi="Corbel" w:cstheme="minorHAnsi"/>
                <w:sz w:val="20"/>
                <w:szCs w:val="20"/>
              </w:rPr>
              <w:t>Higher level of awareness and preparedness of Member States to undertake strategic commitments in the implementation of the WTO Trade Facilitation Agreement</w:t>
            </w:r>
            <w:bookmarkEnd w:id="175"/>
          </w:p>
        </w:tc>
        <w:tc>
          <w:tcPr>
            <w:tcW w:w="4036" w:type="dxa"/>
            <w:shd w:val="clear" w:color="auto" w:fill="auto"/>
          </w:tcPr>
          <w:p w14:paraId="6FC777FB" w14:textId="62673526" w:rsidR="00AB3A03" w:rsidRPr="0003093F" w:rsidRDefault="00136D7A" w:rsidP="003D2FCC">
            <w:pPr>
              <w:widowControl w:val="0"/>
              <w:spacing w:before="120" w:line="280" w:lineRule="exact"/>
              <w:jc w:val="both"/>
              <w:outlineLvl w:val="0"/>
              <w:rPr>
                <w:rFonts w:ascii="Corbel" w:hAnsi="Corbel" w:cstheme="minorHAnsi"/>
                <w:sz w:val="20"/>
                <w:szCs w:val="20"/>
                <w:lang w:val="en-GB"/>
              </w:rPr>
            </w:pPr>
            <w:bookmarkStart w:id="176" w:name="_Toc103506710"/>
            <w:r w:rsidRPr="0003093F">
              <w:rPr>
                <w:rFonts w:ascii="Corbel" w:hAnsi="Corbel" w:cstheme="minorHAnsi"/>
                <w:sz w:val="20"/>
                <w:szCs w:val="20"/>
                <w:lang w:val="en-GB"/>
              </w:rPr>
              <w:t xml:space="preserve">4.1 </w:t>
            </w:r>
            <w:r w:rsidR="00D17C39">
              <w:rPr>
                <w:rFonts w:ascii="Corbel" w:hAnsi="Corbel" w:cstheme="minorHAnsi"/>
                <w:sz w:val="20"/>
                <w:szCs w:val="20"/>
                <w:lang w:val="en-GB"/>
              </w:rPr>
              <w:t>I</w:t>
            </w:r>
            <w:r w:rsidR="00293A8E" w:rsidRPr="0003093F">
              <w:rPr>
                <w:rFonts w:ascii="Corbel" w:hAnsi="Corbel" w:cstheme="minorHAnsi"/>
                <w:sz w:val="20"/>
                <w:szCs w:val="20"/>
                <w:lang w:val="en-GB"/>
              </w:rPr>
              <w:t>ntroduction</w:t>
            </w:r>
            <w:r w:rsidR="00D17C39">
              <w:rPr>
                <w:rFonts w:ascii="Corbel" w:hAnsi="Corbel" w:cstheme="minorHAnsi"/>
                <w:sz w:val="20"/>
                <w:szCs w:val="20"/>
                <w:lang w:val="en-GB"/>
              </w:rPr>
              <w:t xml:space="preserve"> and</w:t>
            </w:r>
            <w:r w:rsidR="00293A8E" w:rsidRPr="0003093F">
              <w:rPr>
                <w:rFonts w:ascii="Corbel" w:hAnsi="Corbel" w:cstheme="minorHAnsi"/>
                <w:sz w:val="20"/>
                <w:szCs w:val="20"/>
                <w:lang w:val="en-GB"/>
              </w:rPr>
              <w:t xml:space="preserve"> adoption of the </w:t>
            </w:r>
            <w:r w:rsidR="0037646A">
              <w:rPr>
                <w:rFonts w:ascii="Corbel" w:hAnsi="Corbel" w:cstheme="minorHAnsi"/>
                <w:sz w:val="20"/>
                <w:szCs w:val="20"/>
                <w:lang w:val="en-GB"/>
              </w:rPr>
              <w:t>World Customs Union</w:t>
            </w:r>
            <w:r w:rsidR="00293A8E" w:rsidRPr="0003093F">
              <w:rPr>
                <w:rFonts w:ascii="Corbel" w:hAnsi="Corbel" w:cstheme="minorHAnsi"/>
                <w:sz w:val="20"/>
                <w:szCs w:val="20"/>
                <w:lang w:val="en-GB"/>
              </w:rPr>
              <w:t xml:space="preserve"> Data Model</w:t>
            </w:r>
            <w:r w:rsidR="00750826" w:rsidRPr="0003093F">
              <w:rPr>
                <w:rFonts w:ascii="Corbel" w:hAnsi="Corbel" w:cstheme="minorHAnsi"/>
                <w:sz w:val="20"/>
                <w:szCs w:val="20"/>
                <w:lang w:val="en-GB"/>
              </w:rPr>
              <w:t xml:space="preserve"> </w:t>
            </w:r>
            <w:r w:rsidR="00293A8E" w:rsidRPr="0003093F">
              <w:rPr>
                <w:rFonts w:ascii="Corbel" w:hAnsi="Corbel" w:cstheme="minorHAnsi"/>
                <w:sz w:val="20"/>
                <w:szCs w:val="20"/>
                <w:lang w:val="en-GB"/>
              </w:rPr>
              <w:t>into the Jordan National Single Window.</w:t>
            </w:r>
            <w:bookmarkEnd w:id="176"/>
          </w:p>
          <w:p w14:paraId="2CD76494" w14:textId="71C0E714" w:rsidR="00293A8E" w:rsidRPr="0003093F" w:rsidRDefault="00293A8E" w:rsidP="003D2FCC">
            <w:pPr>
              <w:widowControl w:val="0"/>
              <w:spacing w:before="120" w:line="280" w:lineRule="exact"/>
              <w:jc w:val="both"/>
              <w:outlineLvl w:val="0"/>
              <w:rPr>
                <w:rFonts w:ascii="Corbel" w:hAnsi="Corbel" w:cstheme="minorHAnsi"/>
                <w:sz w:val="20"/>
                <w:szCs w:val="20"/>
                <w:lang w:val="en-GB"/>
              </w:rPr>
            </w:pPr>
            <w:bookmarkStart w:id="177" w:name="_Toc103506711"/>
            <w:r w:rsidRPr="0003093F">
              <w:rPr>
                <w:rFonts w:ascii="Corbel" w:hAnsi="Corbel" w:cstheme="minorHAnsi"/>
                <w:sz w:val="20"/>
                <w:szCs w:val="20"/>
                <w:lang w:val="en-GB"/>
              </w:rPr>
              <w:t xml:space="preserve">Training on the WTO Trade Facilitation Agreement </w:t>
            </w:r>
            <w:r w:rsidR="00A26C81">
              <w:rPr>
                <w:rFonts w:ascii="Corbel" w:hAnsi="Corbel" w:cstheme="minorHAnsi"/>
                <w:sz w:val="20"/>
                <w:szCs w:val="20"/>
                <w:lang w:val="en-GB"/>
              </w:rPr>
              <w:t>attended by</w:t>
            </w:r>
            <w:r w:rsidRPr="0003093F">
              <w:rPr>
                <w:rFonts w:ascii="Corbel" w:hAnsi="Corbel" w:cstheme="minorHAnsi"/>
                <w:sz w:val="20"/>
                <w:szCs w:val="20"/>
                <w:lang w:val="en-GB"/>
              </w:rPr>
              <w:t xml:space="preserve"> 160 policy makers and representatives of the private sector </w:t>
            </w:r>
            <w:r w:rsidR="00A26C81">
              <w:rPr>
                <w:rFonts w:ascii="Corbel" w:hAnsi="Corbel" w:cstheme="minorHAnsi"/>
                <w:sz w:val="20"/>
                <w:szCs w:val="20"/>
                <w:lang w:val="en-GB"/>
              </w:rPr>
              <w:t>from the region</w:t>
            </w:r>
            <w:r w:rsidR="00DE70A3">
              <w:rPr>
                <w:rFonts w:ascii="Corbel" w:hAnsi="Corbel" w:cstheme="minorHAnsi"/>
                <w:sz w:val="20"/>
                <w:szCs w:val="20"/>
                <w:lang w:val="en-GB"/>
              </w:rPr>
              <w:t>.</w:t>
            </w:r>
            <w:bookmarkEnd w:id="177"/>
          </w:p>
          <w:p w14:paraId="427B0C67" w14:textId="7E8088D9" w:rsidR="00F5577B" w:rsidRPr="0003093F" w:rsidRDefault="00293A8E" w:rsidP="003D2FCC">
            <w:pPr>
              <w:widowControl w:val="0"/>
              <w:spacing w:before="120" w:line="280" w:lineRule="exact"/>
              <w:jc w:val="both"/>
              <w:outlineLvl w:val="0"/>
              <w:rPr>
                <w:rFonts w:ascii="Corbel" w:hAnsi="Corbel" w:cstheme="minorHAnsi"/>
                <w:sz w:val="20"/>
                <w:szCs w:val="20"/>
                <w:lang w:val="en-GB"/>
              </w:rPr>
            </w:pPr>
            <w:bookmarkStart w:id="178" w:name="_Toc103506712"/>
            <w:r w:rsidRPr="0003093F">
              <w:rPr>
                <w:rFonts w:ascii="Corbel" w:hAnsi="Corbel" w:cstheme="minorHAnsi"/>
                <w:sz w:val="20"/>
                <w:szCs w:val="20"/>
                <w:lang w:val="en-GB"/>
              </w:rPr>
              <w:t xml:space="preserve">Assistance </w:t>
            </w:r>
            <w:r w:rsidR="00DE70A3">
              <w:rPr>
                <w:rFonts w:ascii="Corbel" w:hAnsi="Corbel" w:cstheme="minorHAnsi"/>
                <w:sz w:val="20"/>
                <w:szCs w:val="20"/>
                <w:lang w:val="en-GB"/>
              </w:rPr>
              <w:t>on the implementation of the</w:t>
            </w:r>
            <w:r w:rsidRPr="0003093F">
              <w:rPr>
                <w:rFonts w:ascii="Corbel" w:hAnsi="Corbel" w:cstheme="minorHAnsi"/>
                <w:sz w:val="20"/>
                <w:szCs w:val="20"/>
                <w:lang w:val="en-GB"/>
              </w:rPr>
              <w:t xml:space="preserve"> </w:t>
            </w:r>
            <w:r w:rsidR="00DE70A3">
              <w:rPr>
                <w:rFonts w:ascii="Corbel" w:hAnsi="Corbel" w:cstheme="minorHAnsi"/>
                <w:sz w:val="20"/>
                <w:szCs w:val="20"/>
                <w:lang w:val="en-GB"/>
              </w:rPr>
              <w:t>T</w:t>
            </w:r>
            <w:r w:rsidRPr="0003093F">
              <w:rPr>
                <w:rFonts w:ascii="Corbel" w:hAnsi="Corbel" w:cstheme="minorHAnsi"/>
                <w:sz w:val="20"/>
                <w:szCs w:val="20"/>
                <w:lang w:val="en-GB"/>
              </w:rPr>
              <w:t xml:space="preserve">rade in </w:t>
            </w:r>
            <w:r w:rsidR="00DE70A3">
              <w:rPr>
                <w:rFonts w:ascii="Corbel" w:hAnsi="Corbel" w:cstheme="minorHAnsi"/>
                <w:sz w:val="20"/>
                <w:szCs w:val="20"/>
                <w:lang w:val="en-GB"/>
              </w:rPr>
              <w:t>S</w:t>
            </w:r>
            <w:r w:rsidRPr="0003093F">
              <w:rPr>
                <w:rFonts w:ascii="Corbel" w:hAnsi="Corbel" w:cstheme="minorHAnsi"/>
                <w:sz w:val="20"/>
                <w:szCs w:val="20"/>
                <w:lang w:val="en-GB"/>
              </w:rPr>
              <w:t>ervices Agreement</w:t>
            </w:r>
            <w:r w:rsidR="00921E57" w:rsidRPr="0003093F">
              <w:rPr>
                <w:rFonts w:ascii="Corbel" w:hAnsi="Corbel" w:cstheme="minorHAnsi"/>
                <w:sz w:val="20"/>
                <w:szCs w:val="20"/>
                <w:lang w:val="en-GB"/>
              </w:rPr>
              <w:t xml:space="preserve"> to Jordan, </w:t>
            </w:r>
            <w:r w:rsidR="000D6571">
              <w:rPr>
                <w:rFonts w:ascii="Corbel" w:hAnsi="Corbel" w:cstheme="minorHAnsi"/>
                <w:sz w:val="20"/>
                <w:szCs w:val="20"/>
                <w:lang w:val="en-GB"/>
              </w:rPr>
              <w:t xml:space="preserve">Saudi </w:t>
            </w:r>
            <w:r w:rsidR="007E3C46">
              <w:rPr>
                <w:rFonts w:ascii="Corbel" w:hAnsi="Corbel" w:cstheme="minorHAnsi"/>
                <w:sz w:val="20"/>
                <w:szCs w:val="20"/>
                <w:lang w:val="en-GB"/>
              </w:rPr>
              <w:t>Arabia,</w:t>
            </w:r>
            <w:r w:rsidR="00921E57" w:rsidRPr="0003093F">
              <w:rPr>
                <w:rFonts w:ascii="Corbel" w:hAnsi="Corbel" w:cstheme="minorHAnsi"/>
                <w:sz w:val="20"/>
                <w:szCs w:val="20"/>
                <w:lang w:val="en-GB"/>
              </w:rPr>
              <w:t xml:space="preserve"> and Morocco</w:t>
            </w:r>
            <w:r w:rsidR="000D6571">
              <w:rPr>
                <w:rFonts w:ascii="Corbel" w:hAnsi="Corbel" w:cstheme="minorHAnsi"/>
                <w:sz w:val="20"/>
                <w:szCs w:val="20"/>
                <w:lang w:val="en-GB"/>
              </w:rPr>
              <w:t xml:space="preserve"> lead to the introduction of specifi</w:t>
            </w:r>
            <w:r w:rsidR="000F7155">
              <w:rPr>
                <w:rFonts w:ascii="Corbel" w:hAnsi="Corbel" w:cstheme="minorHAnsi"/>
                <w:sz w:val="20"/>
                <w:szCs w:val="20"/>
                <w:lang w:val="en-GB"/>
              </w:rPr>
              <w:t>c t</w:t>
            </w:r>
            <w:r w:rsidR="00AB3A03" w:rsidRPr="0003093F">
              <w:rPr>
                <w:rFonts w:ascii="Corbel" w:hAnsi="Corbel" w:cstheme="minorHAnsi"/>
                <w:sz w:val="20"/>
                <w:szCs w:val="20"/>
                <w:lang w:val="en-GB"/>
              </w:rPr>
              <w:t xml:space="preserve">rade in services legislations </w:t>
            </w:r>
            <w:r w:rsidR="000F7155">
              <w:rPr>
                <w:rFonts w:ascii="Corbel" w:hAnsi="Corbel" w:cstheme="minorHAnsi"/>
                <w:sz w:val="20"/>
                <w:szCs w:val="20"/>
                <w:lang w:val="en-GB"/>
              </w:rPr>
              <w:t>in</w:t>
            </w:r>
            <w:r w:rsidR="00AB3A03" w:rsidRPr="0003093F">
              <w:rPr>
                <w:rFonts w:ascii="Corbel" w:hAnsi="Corbel" w:cstheme="minorHAnsi"/>
                <w:sz w:val="20"/>
                <w:szCs w:val="20"/>
                <w:lang w:val="en-GB"/>
              </w:rPr>
              <w:t xml:space="preserve"> Jordan and Morocco</w:t>
            </w:r>
            <w:r w:rsidR="000F7155">
              <w:rPr>
                <w:rFonts w:ascii="Corbel" w:hAnsi="Corbel" w:cstheme="minorHAnsi"/>
                <w:sz w:val="20"/>
                <w:szCs w:val="20"/>
                <w:lang w:val="en-GB"/>
              </w:rPr>
              <w:t>.</w:t>
            </w:r>
            <w:bookmarkEnd w:id="178"/>
          </w:p>
          <w:p w14:paraId="50EA5DC2" w14:textId="2B351BCD" w:rsidR="00AB3A03" w:rsidRPr="0003093F" w:rsidRDefault="00AB3A03">
            <w:pPr>
              <w:widowControl w:val="0"/>
              <w:spacing w:before="120" w:line="280" w:lineRule="exact"/>
              <w:jc w:val="both"/>
              <w:outlineLvl w:val="0"/>
              <w:rPr>
                <w:rFonts w:ascii="Corbel" w:hAnsi="Corbel" w:cstheme="minorHAnsi"/>
                <w:sz w:val="20"/>
                <w:szCs w:val="20"/>
                <w:lang w:val="en-GB"/>
              </w:rPr>
            </w:pPr>
          </w:p>
        </w:tc>
      </w:tr>
      <w:tr w:rsidR="00327590" w:rsidRPr="0003093F" w14:paraId="35DF9685" w14:textId="77777777" w:rsidTr="00E800AC">
        <w:trPr>
          <w:gridAfter w:val="1"/>
          <w:wAfter w:w="15" w:type="dxa"/>
          <w:trHeight w:val="412"/>
          <w:jc w:val="center"/>
        </w:trPr>
        <w:tc>
          <w:tcPr>
            <w:tcW w:w="2997" w:type="dxa"/>
            <w:shd w:val="clear" w:color="auto" w:fill="auto"/>
          </w:tcPr>
          <w:p w14:paraId="2FD62237" w14:textId="4179F9D4" w:rsidR="00327590" w:rsidRPr="0003093F" w:rsidRDefault="00327590" w:rsidP="00D64E69">
            <w:pPr>
              <w:widowControl w:val="0"/>
              <w:spacing w:before="120" w:line="280" w:lineRule="exact"/>
              <w:jc w:val="both"/>
              <w:outlineLvl w:val="0"/>
              <w:rPr>
                <w:rFonts w:ascii="Corbel" w:eastAsia="Times New Roman" w:hAnsi="Corbel" w:cs="Arial"/>
                <w:sz w:val="20"/>
                <w:szCs w:val="20"/>
                <w:lang w:val="en-GB" w:eastAsia="en-US"/>
              </w:rPr>
            </w:pPr>
            <w:bookmarkStart w:id="179" w:name="_Toc103506713"/>
            <w:r w:rsidRPr="0003093F">
              <w:rPr>
                <w:rFonts w:ascii="Corbel" w:hAnsi="Corbel" w:cstheme="minorHAnsi"/>
                <w:sz w:val="20"/>
                <w:szCs w:val="20"/>
                <w:u w:val="single"/>
                <w:lang w:val="en-GB"/>
              </w:rPr>
              <w:t>Indicator 4.2</w:t>
            </w:r>
            <w:r w:rsidRPr="0003093F">
              <w:rPr>
                <w:rFonts w:ascii="Corbel" w:hAnsi="Corbel" w:cstheme="minorHAnsi"/>
                <w:sz w:val="20"/>
                <w:szCs w:val="20"/>
                <w:lang w:val="en-GB"/>
              </w:rPr>
              <w:t>: Existence of operational models to activate mutual recognition and acceptance practices, particularly for cross border operations and trade facilitation.</w:t>
            </w:r>
            <w:bookmarkEnd w:id="179"/>
          </w:p>
        </w:tc>
        <w:tc>
          <w:tcPr>
            <w:tcW w:w="3089" w:type="dxa"/>
            <w:shd w:val="clear" w:color="auto" w:fill="auto"/>
          </w:tcPr>
          <w:p w14:paraId="2DEE2A04" w14:textId="22D6B27D" w:rsidR="005A2CC1" w:rsidRPr="0003093F" w:rsidRDefault="005A2CC1" w:rsidP="00D64E69">
            <w:pPr>
              <w:widowControl w:val="0"/>
              <w:spacing w:before="120" w:line="280" w:lineRule="exact"/>
              <w:jc w:val="both"/>
              <w:outlineLvl w:val="0"/>
              <w:rPr>
                <w:rFonts w:ascii="Corbel" w:hAnsi="Corbel" w:cstheme="minorHAnsi"/>
                <w:sz w:val="20"/>
                <w:szCs w:val="20"/>
                <w:lang w:val="en-GB"/>
              </w:rPr>
            </w:pPr>
            <w:bookmarkStart w:id="180" w:name="_Toc103506714"/>
            <w:r w:rsidRPr="0003093F">
              <w:rPr>
                <w:rFonts w:ascii="Corbel" w:hAnsi="Corbel" w:cstheme="minorHAnsi"/>
                <w:sz w:val="20"/>
                <w:szCs w:val="20"/>
                <w:lang w:val="en-GB"/>
              </w:rPr>
              <w:t>Baseline 4.2: Works on mutual recognition at the regional level has started and requires enhancing its effectiveness</w:t>
            </w:r>
            <w:bookmarkEnd w:id="180"/>
          </w:p>
          <w:p w14:paraId="218A23E7" w14:textId="4B901B20" w:rsidR="008F18D0" w:rsidRPr="0003093F" w:rsidRDefault="008F18D0" w:rsidP="00D64E69">
            <w:pPr>
              <w:widowControl w:val="0"/>
              <w:spacing w:before="120" w:line="280" w:lineRule="exact"/>
              <w:jc w:val="both"/>
              <w:outlineLvl w:val="0"/>
              <w:rPr>
                <w:rFonts w:ascii="Corbel" w:hAnsi="Corbel" w:cstheme="minorHAnsi"/>
                <w:sz w:val="20"/>
                <w:szCs w:val="20"/>
                <w:lang w:val="en-GB"/>
              </w:rPr>
            </w:pPr>
          </w:p>
          <w:p w14:paraId="44EB6C80" w14:textId="28ECE0CD" w:rsidR="005A2CC1" w:rsidRPr="0003093F" w:rsidRDefault="008F18D0" w:rsidP="00D64E69">
            <w:pPr>
              <w:widowControl w:val="0"/>
              <w:spacing w:before="120" w:line="280" w:lineRule="exact"/>
              <w:jc w:val="both"/>
              <w:outlineLvl w:val="0"/>
              <w:rPr>
                <w:rFonts w:ascii="Corbel" w:hAnsi="Corbel" w:cstheme="minorHAnsi"/>
                <w:sz w:val="20"/>
                <w:szCs w:val="20"/>
                <w:lang w:val="en-GB"/>
              </w:rPr>
            </w:pPr>
            <w:bookmarkStart w:id="181" w:name="_Toc103506715"/>
            <w:r w:rsidRPr="0003093F">
              <w:rPr>
                <w:rFonts w:ascii="Corbel" w:hAnsi="Corbel" w:cstheme="minorHAnsi"/>
                <w:sz w:val="20"/>
                <w:szCs w:val="20"/>
                <w:lang w:val="en-GB"/>
              </w:rPr>
              <w:t xml:space="preserve">Target 4.2: </w:t>
            </w:r>
            <w:r w:rsidR="003D2FCC" w:rsidRPr="0003093F">
              <w:rPr>
                <w:rFonts w:ascii="Corbel" w:hAnsi="Corbel" w:cstheme="minorHAnsi"/>
                <w:sz w:val="20"/>
                <w:szCs w:val="20"/>
              </w:rPr>
              <w:t>two new border posts/pilot schemes among Member States are initiated.</w:t>
            </w:r>
            <w:bookmarkEnd w:id="181"/>
          </w:p>
        </w:tc>
        <w:tc>
          <w:tcPr>
            <w:tcW w:w="4036" w:type="dxa"/>
            <w:shd w:val="clear" w:color="auto" w:fill="auto"/>
          </w:tcPr>
          <w:p w14:paraId="2DDB687E" w14:textId="79BD8842" w:rsidR="003E19FA" w:rsidRPr="0003093F" w:rsidRDefault="00136D7A" w:rsidP="00895C05">
            <w:pPr>
              <w:widowControl w:val="0"/>
              <w:spacing w:before="120" w:line="280" w:lineRule="exact"/>
              <w:jc w:val="both"/>
              <w:outlineLvl w:val="0"/>
              <w:rPr>
                <w:rFonts w:ascii="Corbel" w:hAnsi="Corbel" w:cstheme="minorHAnsi"/>
                <w:sz w:val="20"/>
                <w:szCs w:val="20"/>
                <w:lang w:val="en-GB"/>
              </w:rPr>
            </w:pPr>
            <w:bookmarkStart w:id="182" w:name="_Toc103506716"/>
            <w:r w:rsidRPr="0003093F">
              <w:rPr>
                <w:rFonts w:ascii="Corbel" w:hAnsi="Corbel" w:cstheme="minorHAnsi"/>
                <w:sz w:val="20"/>
                <w:szCs w:val="20"/>
                <w:lang w:val="en-GB"/>
              </w:rPr>
              <w:t xml:space="preserve">4.2 </w:t>
            </w:r>
            <w:r w:rsidR="002C16D6">
              <w:rPr>
                <w:rFonts w:ascii="Corbel" w:hAnsi="Corbel" w:cstheme="minorHAnsi"/>
                <w:sz w:val="20"/>
                <w:szCs w:val="20"/>
                <w:lang w:val="en-GB"/>
              </w:rPr>
              <w:t>In Jordan, the a</w:t>
            </w:r>
            <w:r w:rsidR="00C670A2" w:rsidRPr="0003093F">
              <w:rPr>
                <w:rFonts w:ascii="Corbel" w:hAnsi="Corbel" w:cstheme="minorHAnsi"/>
                <w:sz w:val="20"/>
                <w:szCs w:val="20"/>
                <w:lang w:val="en-GB"/>
              </w:rPr>
              <w:t xml:space="preserve">doption of the pre-arrival clearance in </w:t>
            </w:r>
            <w:r w:rsidR="00A424DB">
              <w:rPr>
                <w:rFonts w:ascii="Corbel" w:hAnsi="Corbel" w:cstheme="minorHAnsi"/>
                <w:sz w:val="20"/>
                <w:szCs w:val="20"/>
                <w:lang w:val="en-GB"/>
              </w:rPr>
              <w:t xml:space="preserve">the </w:t>
            </w:r>
            <w:r w:rsidR="00C670A2" w:rsidRPr="0003093F">
              <w:rPr>
                <w:rFonts w:ascii="Corbel" w:hAnsi="Corbel" w:cstheme="minorHAnsi"/>
                <w:sz w:val="20"/>
                <w:szCs w:val="20"/>
                <w:lang w:val="en-GB"/>
              </w:rPr>
              <w:t xml:space="preserve">Aqaba port </w:t>
            </w:r>
            <w:r w:rsidR="00A424DB">
              <w:rPr>
                <w:rFonts w:ascii="Corbel" w:hAnsi="Corbel" w:cstheme="minorHAnsi"/>
                <w:sz w:val="20"/>
                <w:szCs w:val="20"/>
                <w:lang w:val="en-GB"/>
              </w:rPr>
              <w:t xml:space="preserve">in 2018 </w:t>
            </w:r>
            <w:r w:rsidR="00C670A2" w:rsidRPr="0003093F">
              <w:rPr>
                <w:rFonts w:ascii="Corbel" w:hAnsi="Corbel" w:cstheme="minorHAnsi"/>
                <w:sz w:val="20"/>
                <w:szCs w:val="20"/>
                <w:lang w:val="en-GB"/>
              </w:rPr>
              <w:t>result</w:t>
            </w:r>
            <w:r w:rsidR="00A424DB">
              <w:rPr>
                <w:rFonts w:ascii="Corbel" w:hAnsi="Corbel" w:cstheme="minorHAnsi"/>
                <w:sz w:val="20"/>
                <w:szCs w:val="20"/>
                <w:lang w:val="en-GB"/>
              </w:rPr>
              <w:t>ed in</w:t>
            </w:r>
            <w:r w:rsidR="00C670A2" w:rsidRPr="0003093F">
              <w:rPr>
                <w:rFonts w:ascii="Corbel" w:hAnsi="Corbel" w:cstheme="minorHAnsi"/>
                <w:sz w:val="20"/>
                <w:szCs w:val="20"/>
                <w:lang w:val="en-GB"/>
              </w:rPr>
              <w:t xml:space="preserve"> the</w:t>
            </w:r>
            <w:r w:rsidR="003E19FA" w:rsidRPr="0003093F">
              <w:rPr>
                <w:rFonts w:ascii="Corbel" w:hAnsi="Corbel" w:cstheme="minorHAnsi"/>
                <w:sz w:val="20"/>
                <w:szCs w:val="20"/>
                <w:lang w:val="en-GB"/>
              </w:rPr>
              <w:t xml:space="preserve"> reduction of time and costs for </w:t>
            </w:r>
            <w:r w:rsidR="00A424DB">
              <w:rPr>
                <w:rFonts w:ascii="Corbel" w:hAnsi="Corbel" w:cstheme="minorHAnsi"/>
                <w:sz w:val="20"/>
                <w:szCs w:val="20"/>
                <w:lang w:val="en-GB"/>
              </w:rPr>
              <w:t>public</w:t>
            </w:r>
            <w:r w:rsidR="003E19FA" w:rsidRPr="0003093F">
              <w:rPr>
                <w:rFonts w:ascii="Corbel" w:hAnsi="Corbel" w:cstheme="minorHAnsi"/>
                <w:sz w:val="20"/>
                <w:szCs w:val="20"/>
                <w:lang w:val="en-GB"/>
              </w:rPr>
              <w:t xml:space="preserve"> and private sector</w:t>
            </w:r>
            <w:r w:rsidR="00A424DB">
              <w:rPr>
                <w:rFonts w:ascii="Corbel" w:hAnsi="Corbel" w:cstheme="minorHAnsi"/>
                <w:sz w:val="20"/>
                <w:szCs w:val="20"/>
                <w:lang w:val="en-GB"/>
              </w:rPr>
              <w:t xml:space="preserve"> operators, with</w:t>
            </w:r>
            <w:r w:rsidR="00A424DB" w:rsidRPr="0003093F">
              <w:rPr>
                <w:rFonts w:ascii="Corbel" w:hAnsi="Corbel" w:cstheme="minorHAnsi"/>
                <w:sz w:val="20"/>
                <w:szCs w:val="20"/>
                <w:lang w:val="en-GB"/>
              </w:rPr>
              <w:t xml:space="preserve"> incremental</w:t>
            </w:r>
            <w:r w:rsidR="003E19FA" w:rsidRPr="0003093F">
              <w:rPr>
                <w:rFonts w:ascii="Corbel" w:hAnsi="Corbel" w:cstheme="minorHAnsi"/>
                <w:sz w:val="20"/>
                <w:szCs w:val="20"/>
                <w:lang w:val="en-GB"/>
              </w:rPr>
              <w:t xml:space="preserve">. </w:t>
            </w:r>
            <w:r w:rsidR="00A424DB">
              <w:rPr>
                <w:rFonts w:ascii="Corbel" w:hAnsi="Corbel" w:cstheme="minorHAnsi"/>
                <w:sz w:val="20"/>
                <w:szCs w:val="20"/>
                <w:lang w:val="en-GB"/>
              </w:rPr>
              <w:t>i</w:t>
            </w:r>
            <w:r w:rsidR="003E19FA" w:rsidRPr="0003093F">
              <w:rPr>
                <w:rFonts w:ascii="Corbel" w:hAnsi="Corbel" w:cstheme="minorHAnsi"/>
                <w:sz w:val="20"/>
                <w:szCs w:val="20"/>
                <w:lang w:val="en-GB"/>
              </w:rPr>
              <w:t xml:space="preserve">mpacts </w:t>
            </w:r>
            <w:r w:rsidR="00395B72">
              <w:rPr>
                <w:rFonts w:ascii="Corbel" w:hAnsi="Corbel" w:cstheme="minorHAnsi"/>
                <w:sz w:val="20"/>
                <w:szCs w:val="20"/>
                <w:lang w:val="en-GB"/>
              </w:rPr>
              <w:t>during the period</w:t>
            </w:r>
            <w:r w:rsidR="003E19FA" w:rsidRPr="0003093F">
              <w:rPr>
                <w:rFonts w:ascii="Corbel" w:hAnsi="Corbel" w:cstheme="minorHAnsi"/>
                <w:sz w:val="20"/>
                <w:szCs w:val="20"/>
                <w:lang w:val="en-GB"/>
              </w:rPr>
              <w:t xml:space="preserve"> 2019</w:t>
            </w:r>
            <w:r w:rsidR="00395B72">
              <w:rPr>
                <w:rFonts w:ascii="Corbel" w:hAnsi="Corbel" w:cstheme="minorHAnsi"/>
                <w:sz w:val="20"/>
                <w:szCs w:val="20"/>
                <w:lang w:val="en-GB"/>
              </w:rPr>
              <w:t xml:space="preserve"> - </w:t>
            </w:r>
            <w:r w:rsidR="003E19FA" w:rsidRPr="0003093F">
              <w:rPr>
                <w:rFonts w:ascii="Corbel" w:hAnsi="Corbel" w:cstheme="minorHAnsi"/>
                <w:sz w:val="20"/>
                <w:szCs w:val="20"/>
                <w:lang w:val="en-GB"/>
              </w:rPr>
              <w:t>2021.</w:t>
            </w:r>
            <w:bookmarkEnd w:id="182"/>
            <w:r w:rsidR="00C670A2" w:rsidRPr="0003093F">
              <w:rPr>
                <w:rFonts w:ascii="Corbel" w:hAnsi="Corbel" w:cstheme="minorHAnsi"/>
                <w:sz w:val="20"/>
                <w:szCs w:val="20"/>
                <w:lang w:val="en-GB"/>
              </w:rPr>
              <w:t xml:space="preserve"> </w:t>
            </w:r>
          </w:p>
          <w:p w14:paraId="73BF5D85" w14:textId="28B20235" w:rsidR="001B5E55" w:rsidRPr="0003093F" w:rsidRDefault="003E19FA" w:rsidP="00895C05">
            <w:pPr>
              <w:widowControl w:val="0"/>
              <w:spacing w:before="120" w:line="280" w:lineRule="exact"/>
              <w:jc w:val="both"/>
              <w:outlineLvl w:val="0"/>
              <w:rPr>
                <w:rFonts w:ascii="Corbel" w:hAnsi="Corbel" w:cstheme="minorHAnsi"/>
                <w:sz w:val="20"/>
                <w:szCs w:val="20"/>
                <w:lang w:val="en-GB"/>
              </w:rPr>
            </w:pPr>
            <w:bookmarkStart w:id="183" w:name="_Toc103506717"/>
            <w:r w:rsidRPr="0003093F">
              <w:rPr>
                <w:rFonts w:ascii="Corbel" w:hAnsi="Corbel" w:cstheme="minorHAnsi"/>
                <w:sz w:val="20"/>
                <w:szCs w:val="20"/>
                <w:lang w:val="en-GB"/>
              </w:rPr>
              <w:t>-</w:t>
            </w:r>
            <w:r w:rsidR="00C46C5B">
              <w:rPr>
                <w:rFonts w:ascii="Corbel" w:hAnsi="Corbel" w:cstheme="minorHAnsi"/>
                <w:sz w:val="20"/>
                <w:szCs w:val="20"/>
                <w:lang w:val="en-GB"/>
              </w:rPr>
              <w:t xml:space="preserve"> The</w:t>
            </w:r>
            <w:r w:rsidRPr="0003093F">
              <w:rPr>
                <w:rFonts w:ascii="Corbel" w:hAnsi="Corbel" w:cstheme="minorHAnsi"/>
                <w:sz w:val="20"/>
                <w:szCs w:val="20"/>
                <w:lang w:val="en-GB"/>
              </w:rPr>
              <w:t xml:space="preserve"> Arab Customs Administration </w:t>
            </w:r>
            <w:r w:rsidR="00A3057B">
              <w:rPr>
                <w:rFonts w:ascii="Corbel" w:hAnsi="Corbel" w:cstheme="minorHAnsi"/>
                <w:sz w:val="20"/>
                <w:szCs w:val="20"/>
                <w:lang w:val="en-GB"/>
              </w:rPr>
              <w:t>was supported to</w:t>
            </w:r>
            <w:r w:rsidRPr="0003093F">
              <w:rPr>
                <w:rFonts w:ascii="Corbel" w:hAnsi="Corbel" w:cstheme="minorHAnsi"/>
                <w:sz w:val="20"/>
                <w:szCs w:val="20"/>
                <w:lang w:val="en-GB"/>
              </w:rPr>
              <w:t xml:space="preserve"> develop the draft Memorandum of Understanding for Authorized Economic Operators (AEOs), including provision</w:t>
            </w:r>
            <w:r w:rsidR="00A3057B">
              <w:rPr>
                <w:rFonts w:ascii="Corbel" w:hAnsi="Corbel" w:cstheme="minorHAnsi"/>
                <w:sz w:val="20"/>
                <w:szCs w:val="20"/>
                <w:lang w:val="en-GB"/>
              </w:rPr>
              <w:t>s on m</w:t>
            </w:r>
            <w:r w:rsidRPr="0003093F">
              <w:rPr>
                <w:rFonts w:ascii="Corbel" w:hAnsi="Corbel" w:cstheme="minorHAnsi"/>
                <w:sz w:val="20"/>
                <w:szCs w:val="20"/>
                <w:lang w:val="en-GB"/>
              </w:rPr>
              <w:t xml:space="preserve">utual recognition. AEOs </w:t>
            </w:r>
            <w:r w:rsidR="00CE11B7">
              <w:rPr>
                <w:rFonts w:ascii="Corbel" w:hAnsi="Corbel" w:cstheme="minorHAnsi"/>
                <w:sz w:val="20"/>
                <w:szCs w:val="20"/>
                <w:lang w:val="en-GB"/>
              </w:rPr>
              <w:t>regional g</w:t>
            </w:r>
            <w:r w:rsidRPr="0003093F">
              <w:rPr>
                <w:rFonts w:ascii="Corbel" w:hAnsi="Corbel" w:cstheme="minorHAnsi"/>
                <w:sz w:val="20"/>
                <w:szCs w:val="20"/>
                <w:lang w:val="en-GB"/>
              </w:rPr>
              <w:t xml:space="preserve">uidelines </w:t>
            </w:r>
            <w:r w:rsidR="00CE11B7">
              <w:rPr>
                <w:rFonts w:ascii="Corbel" w:hAnsi="Corbel" w:cstheme="minorHAnsi"/>
                <w:sz w:val="20"/>
                <w:szCs w:val="20"/>
                <w:lang w:val="en-GB"/>
              </w:rPr>
              <w:t>were</w:t>
            </w:r>
            <w:r w:rsidRPr="0003093F">
              <w:rPr>
                <w:rFonts w:ascii="Corbel" w:hAnsi="Corbel" w:cstheme="minorHAnsi"/>
                <w:sz w:val="20"/>
                <w:szCs w:val="20"/>
                <w:lang w:val="en-GB"/>
              </w:rPr>
              <w:t xml:space="preserve"> presented to the Customs Procedures Working Group</w:t>
            </w:r>
            <w:r w:rsidR="001B5E55" w:rsidRPr="0003093F">
              <w:rPr>
                <w:rFonts w:ascii="Corbel" w:hAnsi="Corbel" w:cstheme="minorHAnsi"/>
                <w:sz w:val="20"/>
                <w:szCs w:val="20"/>
                <w:lang w:val="en-GB"/>
              </w:rPr>
              <w:t xml:space="preserve"> under ECOSOC</w:t>
            </w:r>
            <w:r w:rsidRPr="0003093F">
              <w:rPr>
                <w:rFonts w:ascii="Corbel" w:hAnsi="Corbel" w:cstheme="minorHAnsi"/>
                <w:sz w:val="20"/>
                <w:szCs w:val="20"/>
                <w:lang w:val="en-GB"/>
              </w:rPr>
              <w:t>.</w:t>
            </w:r>
            <w:bookmarkEnd w:id="183"/>
          </w:p>
          <w:p w14:paraId="33CF4975" w14:textId="795F7E71" w:rsidR="001A2EFE" w:rsidRPr="0003093F" w:rsidRDefault="001B5E55" w:rsidP="00895C05">
            <w:pPr>
              <w:widowControl w:val="0"/>
              <w:spacing w:before="120" w:line="280" w:lineRule="exact"/>
              <w:jc w:val="both"/>
              <w:outlineLvl w:val="0"/>
              <w:rPr>
                <w:rFonts w:ascii="Corbel" w:hAnsi="Corbel" w:cstheme="minorHAnsi"/>
                <w:sz w:val="20"/>
                <w:szCs w:val="20"/>
                <w:lang w:val="en-GB"/>
              </w:rPr>
            </w:pPr>
            <w:bookmarkStart w:id="184" w:name="_Toc103506718"/>
            <w:r w:rsidRPr="0003093F">
              <w:rPr>
                <w:rFonts w:ascii="Corbel" w:hAnsi="Corbel" w:cstheme="minorHAnsi"/>
                <w:sz w:val="20"/>
                <w:szCs w:val="20"/>
                <w:lang w:val="en-GB"/>
              </w:rPr>
              <w:t xml:space="preserve">- </w:t>
            </w:r>
            <w:r w:rsidR="00A91A93">
              <w:rPr>
                <w:rFonts w:ascii="Corbel" w:hAnsi="Corbel" w:cstheme="minorHAnsi"/>
                <w:sz w:val="20"/>
                <w:szCs w:val="20"/>
                <w:lang w:val="en-GB"/>
              </w:rPr>
              <w:t>A</w:t>
            </w:r>
            <w:r w:rsidRPr="0003093F">
              <w:rPr>
                <w:rFonts w:ascii="Corbel" w:hAnsi="Corbel" w:cstheme="minorHAnsi"/>
                <w:sz w:val="20"/>
                <w:szCs w:val="20"/>
                <w:lang w:val="en-GB"/>
              </w:rPr>
              <w:t xml:space="preserve"> technical proposal</w:t>
            </w:r>
            <w:r w:rsidR="002E5AA9">
              <w:rPr>
                <w:rFonts w:ascii="Corbel" w:hAnsi="Corbel" w:cstheme="minorHAnsi"/>
                <w:sz w:val="20"/>
                <w:szCs w:val="20"/>
                <w:lang w:val="en-GB"/>
              </w:rPr>
              <w:t xml:space="preserve"> and a draft memorandum</w:t>
            </w:r>
            <w:r w:rsidR="00A91A93" w:rsidRPr="0003093F">
              <w:rPr>
                <w:rFonts w:ascii="Corbel" w:hAnsi="Corbel" w:cstheme="minorHAnsi"/>
                <w:sz w:val="20"/>
                <w:szCs w:val="20"/>
                <w:lang w:val="en-GB"/>
              </w:rPr>
              <w:t xml:space="preserve"> to operationalize the trade </w:t>
            </w:r>
            <w:r w:rsidR="00A91A93" w:rsidRPr="0003093F">
              <w:rPr>
                <w:rFonts w:ascii="Corbel" w:hAnsi="Corbel" w:cstheme="minorHAnsi"/>
                <w:sz w:val="20"/>
                <w:szCs w:val="20"/>
                <w:lang w:val="en-GB"/>
              </w:rPr>
              <w:lastRenderedPageBreak/>
              <w:t xml:space="preserve">corridor </w:t>
            </w:r>
            <w:r w:rsidR="00B40946">
              <w:rPr>
                <w:rFonts w:ascii="Corbel" w:hAnsi="Corbel" w:cstheme="minorHAnsi"/>
                <w:sz w:val="20"/>
                <w:szCs w:val="20"/>
                <w:lang w:val="en-GB"/>
              </w:rPr>
              <w:t>between the</w:t>
            </w:r>
            <w:r w:rsidR="00A91A93" w:rsidRPr="0003093F">
              <w:rPr>
                <w:rFonts w:ascii="Corbel" w:hAnsi="Corbel" w:cstheme="minorHAnsi"/>
                <w:sz w:val="20"/>
                <w:szCs w:val="20"/>
                <w:lang w:val="en-GB"/>
              </w:rPr>
              <w:t xml:space="preserve"> </w:t>
            </w:r>
            <w:proofErr w:type="spellStart"/>
            <w:r w:rsidR="00A91A93" w:rsidRPr="0003093F">
              <w:rPr>
                <w:rFonts w:ascii="Corbel" w:hAnsi="Corbel" w:cstheme="minorHAnsi"/>
                <w:sz w:val="20"/>
                <w:szCs w:val="20"/>
                <w:lang w:val="en-GB"/>
              </w:rPr>
              <w:t>Nuweibae</w:t>
            </w:r>
            <w:proofErr w:type="spellEnd"/>
            <w:r w:rsidR="00A91A93" w:rsidRPr="0003093F">
              <w:rPr>
                <w:rFonts w:ascii="Corbel" w:hAnsi="Corbel" w:cstheme="minorHAnsi"/>
                <w:sz w:val="20"/>
                <w:szCs w:val="20"/>
                <w:lang w:val="en-GB"/>
              </w:rPr>
              <w:t xml:space="preserve"> port (Egypt) and </w:t>
            </w:r>
            <w:r w:rsidR="00B40946">
              <w:rPr>
                <w:rFonts w:ascii="Corbel" w:hAnsi="Corbel" w:cstheme="minorHAnsi"/>
                <w:sz w:val="20"/>
                <w:szCs w:val="20"/>
                <w:lang w:val="en-GB"/>
              </w:rPr>
              <w:t xml:space="preserve">the </w:t>
            </w:r>
            <w:r w:rsidR="00A91A93" w:rsidRPr="0003093F">
              <w:rPr>
                <w:rFonts w:ascii="Corbel" w:hAnsi="Corbel" w:cstheme="minorHAnsi"/>
                <w:sz w:val="20"/>
                <w:szCs w:val="20"/>
                <w:lang w:val="en-GB"/>
              </w:rPr>
              <w:t>Aqaba port (Jordan)</w:t>
            </w:r>
            <w:r w:rsidR="002E5AA9">
              <w:rPr>
                <w:rFonts w:ascii="Corbel" w:hAnsi="Corbel" w:cstheme="minorHAnsi"/>
                <w:sz w:val="20"/>
                <w:szCs w:val="20"/>
                <w:lang w:val="en-GB"/>
              </w:rPr>
              <w:t xml:space="preserve"> were</w:t>
            </w:r>
            <w:r w:rsidRPr="0003093F">
              <w:rPr>
                <w:rFonts w:ascii="Corbel" w:hAnsi="Corbel" w:cstheme="minorHAnsi"/>
                <w:sz w:val="20"/>
                <w:szCs w:val="20"/>
                <w:lang w:val="en-GB"/>
              </w:rPr>
              <w:t xml:space="preserve"> prepared and consulted with </w:t>
            </w:r>
            <w:r w:rsidR="00EC4E9D">
              <w:rPr>
                <w:rFonts w:ascii="Corbel" w:hAnsi="Corbel" w:cstheme="minorHAnsi"/>
                <w:sz w:val="20"/>
                <w:szCs w:val="20"/>
                <w:lang w:val="en-GB"/>
              </w:rPr>
              <w:t xml:space="preserve">the governments of </w:t>
            </w:r>
            <w:r w:rsidRPr="0003093F">
              <w:rPr>
                <w:rFonts w:ascii="Corbel" w:hAnsi="Corbel" w:cstheme="minorHAnsi"/>
                <w:sz w:val="20"/>
                <w:szCs w:val="20"/>
                <w:lang w:val="en-GB"/>
              </w:rPr>
              <w:t>Egypt and Jordan</w:t>
            </w:r>
            <w:r w:rsidR="00EC4E9D">
              <w:rPr>
                <w:rFonts w:ascii="Corbel" w:hAnsi="Corbel" w:cstheme="minorHAnsi"/>
                <w:sz w:val="20"/>
                <w:szCs w:val="20"/>
                <w:lang w:val="en-GB"/>
              </w:rPr>
              <w:t>, but the initiative was put on hold at the onset of the COVID-19 pandemic.</w:t>
            </w:r>
            <w:bookmarkEnd w:id="184"/>
          </w:p>
          <w:p w14:paraId="16AE4025" w14:textId="528DB239" w:rsidR="00056AD7" w:rsidRPr="0003093F" w:rsidRDefault="00056AD7" w:rsidP="00895C05">
            <w:pPr>
              <w:widowControl w:val="0"/>
              <w:spacing w:before="120" w:line="280" w:lineRule="exact"/>
              <w:jc w:val="both"/>
              <w:outlineLvl w:val="0"/>
              <w:rPr>
                <w:rFonts w:ascii="Corbel" w:hAnsi="Corbel" w:cstheme="minorHAnsi"/>
                <w:sz w:val="20"/>
                <w:szCs w:val="20"/>
                <w:lang w:val="en-GB"/>
              </w:rPr>
            </w:pPr>
          </w:p>
        </w:tc>
      </w:tr>
    </w:tbl>
    <w:p w14:paraId="09AD09F4" w14:textId="77777777" w:rsidR="00270A41" w:rsidRDefault="00270A41" w:rsidP="00275B21">
      <w:pPr>
        <w:spacing w:line="276" w:lineRule="auto"/>
        <w:jc w:val="both"/>
        <w:outlineLvl w:val="0"/>
        <w:rPr>
          <w:rFonts w:ascii="Corbel" w:hAnsi="Corbel"/>
          <w:sz w:val="21"/>
          <w:szCs w:val="21"/>
          <w:lang w:val="en-GB"/>
        </w:rPr>
      </w:pPr>
    </w:p>
    <w:p w14:paraId="66A11BAE" w14:textId="49DC63D4" w:rsidR="00E34CF8" w:rsidRDefault="00DE19B3" w:rsidP="004D2930">
      <w:pPr>
        <w:spacing w:line="276" w:lineRule="auto"/>
        <w:jc w:val="both"/>
        <w:outlineLvl w:val="0"/>
        <w:rPr>
          <w:rFonts w:ascii="Corbel" w:hAnsi="Corbel" w:cs="Arial"/>
          <w:b/>
          <w:bCs/>
          <w:sz w:val="22"/>
          <w:szCs w:val="22"/>
          <w:u w:val="single"/>
          <w:lang w:val="en-GB"/>
        </w:rPr>
      </w:pPr>
      <w:bookmarkStart w:id="185" w:name="_Toc103506719"/>
      <w:r w:rsidRPr="00D2664E">
        <w:rPr>
          <w:rFonts w:ascii="Corbel" w:hAnsi="Corbel" w:cs="Arial"/>
          <w:b/>
          <w:bCs/>
          <w:sz w:val="22"/>
          <w:szCs w:val="22"/>
          <w:u w:val="single"/>
          <w:lang w:val="en-GB"/>
        </w:rPr>
        <w:t>Outcome 3: Engagement of key development actors ensured through inclusive and transparent processes for regional economic integration.</w:t>
      </w:r>
      <w:bookmarkEnd w:id="185"/>
    </w:p>
    <w:p w14:paraId="299608A1" w14:textId="77777777" w:rsidR="00DE19B3" w:rsidRDefault="00DE19B3" w:rsidP="004D2930">
      <w:pPr>
        <w:spacing w:line="276" w:lineRule="auto"/>
        <w:jc w:val="both"/>
        <w:outlineLvl w:val="0"/>
        <w:rPr>
          <w:rFonts w:ascii="Corbel" w:hAnsi="Corbel" w:cs="Arial"/>
          <w:b/>
          <w:bCs/>
          <w:sz w:val="22"/>
          <w:szCs w:val="22"/>
          <w:u w:val="single"/>
          <w:lang w:val="en-GB"/>
        </w:rPr>
      </w:pPr>
    </w:p>
    <w:p w14:paraId="3AC4B677" w14:textId="1869A0F7" w:rsidR="00DE19B3" w:rsidRPr="00DE19B3" w:rsidRDefault="00DE19B3" w:rsidP="004D2930">
      <w:pPr>
        <w:spacing w:line="276" w:lineRule="auto"/>
        <w:jc w:val="both"/>
        <w:outlineLvl w:val="0"/>
        <w:rPr>
          <w:rFonts w:ascii="Corbel" w:hAnsi="Corbel" w:cs="Arial"/>
          <w:b/>
          <w:bCs/>
          <w:sz w:val="22"/>
          <w:szCs w:val="22"/>
          <w:lang w:val="en-GB"/>
        </w:rPr>
      </w:pPr>
      <w:bookmarkStart w:id="186" w:name="_Toc103506720"/>
      <w:r w:rsidRPr="006C5B93">
        <w:rPr>
          <w:rFonts w:ascii="Corbel" w:hAnsi="Corbel" w:cs="Arial"/>
          <w:b/>
          <w:bCs/>
          <w:sz w:val="22"/>
          <w:szCs w:val="22"/>
          <w:lang w:val="en-GB"/>
        </w:rPr>
        <w:t>Output 5: Improvement of related regulatory frameworks for integrity, aiming for good governance for trade development measures</w:t>
      </w:r>
      <w:bookmarkEnd w:id="186"/>
    </w:p>
    <w:p w14:paraId="554799FC" w14:textId="77777777" w:rsidR="00DE19B3" w:rsidRDefault="00DE19B3" w:rsidP="004D2930">
      <w:pPr>
        <w:spacing w:line="276" w:lineRule="auto"/>
        <w:jc w:val="both"/>
        <w:outlineLvl w:val="0"/>
        <w:rPr>
          <w:rFonts w:ascii="Corbel" w:hAnsi="Corbel" w:cs="Arial"/>
          <w:bCs/>
          <w:sz w:val="21"/>
          <w:szCs w:val="21"/>
          <w:lang w:val="en-GB"/>
        </w:rPr>
      </w:pPr>
    </w:p>
    <w:p w14:paraId="2E22F3CB" w14:textId="6D2D9865" w:rsidR="006C5B93" w:rsidRDefault="006C5B93" w:rsidP="006C5B93">
      <w:pPr>
        <w:spacing w:line="276" w:lineRule="auto"/>
        <w:jc w:val="both"/>
        <w:outlineLvl w:val="0"/>
        <w:rPr>
          <w:rFonts w:ascii="Corbel" w:hAnsi="Corbel" w:cs="Arial"/>
          <w:sz w:val="22"/>
          <w:szCs w:val="22"/>
          <w:lang w:val="en-GB"/>
        </w:rPr>
      </w:pPr>
      <w:bookmarkStart w:id="187" w:name="_Toc103506721"/>
      <w:r w:rsidRPr="4F6DD0A6">
        <w:rPr>
          <w:rFonts w:ascii="Corbel" w:hAnsi="Corbel"/>
          <w:sz w:val="22"/>
          <w:szCs w:val="22"/>
          <w:lang w:val="en-GB"/>
        </w:rPr>
        <w:t xml:space="preserve">Activities under this </w:t>
      </w:r>
      <w:r w:rsidR="007E3C46" w:rsidRPr="4F6DD0A6">
        <w:rPr>
          <w:rFonts w:ascii="Corbel" w:hAnsi="Corbel"/>
          <w:sz w:val="22"/>
          <w:szCs w:val="22"/>
          <w:lang w:val="en-GB"/>
        </w:rPr>
        <w:t>output</w:t>
      </w:r>
      <w:r w:rsidRPr="4F6DD0A6">
        <w:rPr>
          <w:rFonts w:ascii="Corbel" w:hAnsi="Corbel"/>
          <w:sz w:val="22"/>
          <w:szCs w:val="22"/>
          <w:lang w:val="en-GB"/>
        </w:rPr>
        <w:t xml:space="preserve"> were de-prioritized by LAS and member states, who preferred to focus on the PAFTA upgrading at the onset of the project, and on COVID-19 </w:t>
      </w:r>
      <w:r w:rsidR="009E6F9E">
        <w:rPr>
          <w:rFonts w:ascii="Corbel" w:hAnsi="Corbel"/>
          <w:sz w:val="22"/>
          <w:szCs w:val="22"/>
          <w:lang w:val="en-GB"/>
        </w:rPr>
        <w:t>recovery</w:t>
      </w:r>
      <w:r w:rsidRPr="4F6DD0A6">
        <w:rPr>
          <w:rFonts w:ascii="Corbel" w:hAnsi="Corbel"/>
          <w:sz w:val="22"/>
          <w:szCs w:val="22"/>
          <w:lang w:val="en-GB"/>
        </w:rPr>
        <w:t xml:space="preserve"> during the last two years. The project produced some a</w:t>
      </w:r>
      <w:r w:rsidRPr="4F6DD0A6">
        <w:rPr>
          <w:rFonts w:ascii="Corbel" w:hAnsi="Corbel" w:cstheme="minorBidi"/>
          <w:sz w:val="22"/>
          <w:szCs w:val="22"/>
          <w:lang w:val="en-GB"/>
        </w:rPr>
        <w:t>nalysis of corruption-risk exposure in Customs</w:t>
      </w:r>
      <w:r w:rsidR="001A5C3C" w:rsidRPr="4F6DD0A6">
        <w:rPr>
          <w:rFonts w:ascii="Corbel" w:hAnsi="Corbel" w:cstheme="minorBidi"/>
          <w:sz w:val="22"/>
          <w:szCs w:val="22"/>
          <w:lang w:val="en-GB"/>
        </w:rPr>
        <w:t>’</w:t>
      </w:r>
      <w:r w:rsidRPr="4F6DD0A6">
        <w:rPr>
          <w:rFonts w:ascii="Corbel" w:hAnsi="Corbel" w:cstheme="minorBidi"/>
          <w:sz w:val="22"/>
          <w:szCs w:val="22"/>
          <w:lang w:val="en-GB"/>
        </w:rPr>
        <w:t xml:space="preserve"> and cross border </w:t>
      </w:r>
      <w:r w:rsidR="001A5C3C" w:rsidRPr="4F6DD0A6">
        <w:rPr>
          <w:rFonts w:ascii="Corbel" w:hAnsi="Corbel" w:cstheme="minorBidi"/>
          <w:sz w:val="22"/>
          <w:szCs w:val="22"/>
          <w:lang w:val="en-GB"/>
        </w:rPr>
        <w:t>authorities’</w:t>
      </w:r>
      <w:r w:rsidRPr="4F6DD0A6">
        <w:rPr>
          <w:rFonts w:ascii="Corbel" w:hAnsi="Corbel" w:cstheme="minorBidi"/>
          <w:sz w:val="22"/>
          <w:szCs w:val="22"/>
          <w:lang w:val="en-GB"/>
        </w:rPr>
        <w:t xml:space="preserve"> operational procedures in Jordan. </w:t>
      </w:r>
      <w:r w:rsidRPr="4F6DD0A6">
        <w:rPr>
          <w:rFonts w:ascii="Corbel" w:hAnsi="Corbel" w:cs="Arial"/>
          <w:sz w:val="22"/>
          <w:szCs w:val="22"/>
          <w:lang w:val="en-GB"/>
        </w:rPr>
        <w:t xml:space="preserve">The completed study includes the analysis of 96 business processes, a series of recommendations and proposed policies to upgrade efforts in anti-corruption </w:t>
      </w:r>
      <w:proofErr w:type="gramStart"/>
      <w:r w:rsidRPr="4F6DD0A6">
        <w:rPr>
          <w:rFonts w:ascii="Corbel" w:hAnsi="Corbel" w:cs="Arial"/>
          <w:sz w:val="22"/>
          <w:szCs w:val="22"/>
          <w:lang w:val="en-GB"/>
        </w:rPr>
        <w:t>in light of</w:t>
      </w:r>
      <w:proofErr w:type="gramEnd"/>
      <w:r w:rsidRPr="4F6DD0A6">
        <w:rPr>
          <w:rFonts w:ascii="Corbel" w:hAnsi="Corbel" w:cs="Arial"/>
          <w:sz w:val="22"/>
          <w:szCs w:val="22"/>
          <w:lang w:val="en-GB"/>
        </w:rPr>
        <w:t xml:space="preserve"> international instruments, although its publication is still pending the approval of relevant Customs authorities in Jordan.</w:t>
      </w:r>
      <w:bookmarkEnd w:id="187"/>
      <w:r w:rsidRPr="4F6DD0A6">
        <w:rPr>
          <w:rFonts w:ascii="Corbel" w:hAnsi="Corbel" w:cs="Arial"/>
          <w:sz w:val="22"/>
          <w:szCs w:val="22"/>
          <w:lang w:val="en-GB"/>
        </w:rPr>
        <w:t xml:space="preserve"> </w:t>
      </w:r>
    </w:p>
    <w:p w14:paraId="0DEF7463" w14:textId="77777777" w:rsidR="006C5B93" w:rsidRDefault="006C5B93" w:rsidP="006C5B93">
      <w:pPr>
        <w:spacing w:line="276" w:lineRule="auto"/>
        <w:jc w:val="both"/>
        <w:outlineLvl w:val="0"/>
        <w:rPr>
          <w:rFonts w:ascii="Corbel" w:hAnsi="Corbel" w:cs="Arial"/>
          <w:sz w:val="22"/>
          <w:szCs w:val="22"/>
          <w:lang w:val="en-GB"/>
        </w:rPr>
      </w:pPr>
    </w:p>
    <w:p w14:paraId="3650B1F0" w14:textId="77777777" w:rsidR="006C5B93" w:rsidRDefault="006C5B93" w:rsidP="006C5B93">
      <w:pPr>
        <w:spacing w:line="276" w:lineRule="auto"/>
        <w:jc w:val="both"/>
        <w:outlineLvl w:val="0"/>
        <w:rPr>
          <w:rFonts w:ascii="Corbel" w:hAnsi="Corbel" w:cs="Arial"/>
          <w:sz w:val="22"/>
          <w:szCs w:val="22"/>
          <w:lang w:val="en-GB"/>
        </w:rPr>
      </w:pPr>
      <w:bookmarkStart w:id="188" w:name="_Toc103506722"/>
      <w:r>
        <w:rPr>
          <w:rFonts w:ascii="Corbel" w:hAnsi="Corbel" w:cs="Arial"/>
          <w:sz w:val="22"/>
          <w:szCs w:val="22"/>
          <w:lang w:val="en-GB"/>
        </w:rPr>
        <w:t xml:space="preserve">The unfortunate </w:t>
      </w:r>
      <w:r w:rsidRPr="007902A4">
        <w:rPr>
          <w:rFonts w:ascii="Corbel" w:hAnsi="Corbel" w:cs="Arial"/>
          <w:sz w:val="22"/>
          <w:szCs w:val="22"/>
          <w:lang w:val="en-GB"/>
        </w:rPr>
        <w:t xml:space="preserve">explosion in the Port </w:t>
      </w:r>
      <w:r w:rsidRPr="0033018E">
        <w:rPr>
          <w:rFonts w:ascii="Corbel" w:hAnsi="Corbel" w:cs="Arial"/>
          <w:sz w:val="22"/>
          <w:szCs w:val="22"/>
          <w:lang w:val="en-GB"/>
        </w:rPr>
        <w:t>of Beirut</w:t>
      </w:r>
      <w:r w:rsidRPr="002645D5">
        <w:rPr>
          <w:rFonts w:ascii="Corbel" w:hAnsi="Corbel" w:cs="Arial"/>
          <w:sz w:val="22"/>
          <w:szCs w:val="22"/>
          <w:lang w:val="en-GB"/>
        </w:rPr>
        <w:t xml:space="preserve"> August 2020</w:t>
      </w:r>
      <w:r w:rsidRPr="0033018E">
        <w:rPr>
          <w:rFonts w:ascii="Corbel" w:hAnsi="Corbel" w:cs="Arial"/>
          <w:sz w:val="22"/>
          <w:szCs w:val="22"/>
          <w:lang w:val="en-GB"/>
        </w:rPr>
        <w:t xml:space="preserve">, which </w:t>
      </w:r>
      <w:r w:rsidRPr="00673645">
        <w:rPr>
          <w:rFonts w:ascii="Corbel" w:hAnsi="Corbel" w:cs="Arial"/>
          <w:sz w:val="22"/>
          <w:szCs w:val="22"/>
          <w:lang w:val="en-GB"/>
        </w:rPr>
        <w:t xml:space="preserve">gave another blow </w:t>
      </w:r>
      <w:r w:rsidRPr="00B36822">
        <w:rPr>
          <w:rFonts w:ascii="Corbel" w:hAnsi="Corbel" w:cs="Arial"/>
          <w:sz w:val="22"/>
          <w:szCs w:val="22"/>
          <w:lang w:val="en-GB"/>
        </w:rPr>
        <w:t xml:space="preserve">to </w:t>
      </w:r>
      <w:r>
        <w:rPr>
          <w:rFonts w:ascii="Corbel" w:hAnsi="Corbel" w:cs="Arial"/>
          <w:sz w:val="22"/>
          <w:szCs w:val="22"/>
          <w:lang w:val="en-GB"/>
        </w:rPr>
        <w:t>an</w:t>
      </w:r>
      <w:r w:rsidRPr="00580A95">
        <w:rPr>
          <w:rFonts w:ascii="Corbel" w:hAnsi="Corbel" w:cs="Arial"/>
          <w:sz w:val="22"/>
          <w:szCs w:val="22"/>
          <w:lang w:val="en-GB"/>
        </w:rPr>
        <w:t xml:space="preserve"> </w:t>
      </w:r>
      <w:r w:rsidRPr="002A5055">
        <w:rPr>
          <w:rFonts w:ascii="Corbel" w:hAnsi="Corbel" w:cs="Arial"/>
          <w:sz w:val="22"/>
          <w:szCs w:val="22"/>
          <w:lang w:val="en-GB"/>
        </w:rPr>
        <w:t xml:space="preserve">already fragile situation in Lebanon, </w:t>
      </w:r>
      <w:r>
        <w:rPr>
          <w:rFonts w:ascii="Corbel" w:hAnsi="Corbel" w:cs="Arial"/>
          <w:sz w:val="22"/>
          <w:szCs w:val="22"/>
          <w:lang w:val="en-GB"/>
        </w:rPr>
        <w:t xml:space="preserve">opened an opportunity to engage with </w:t>
      </w:r>
      <w:r w:rsidRPr="000602EB">
        <w:rPr>
          <w:rFonts w:ascii="Corbel" w:hAnsi="Corbel" w:cs="Arial"/>
          <w:sz w:val="22"/>
          <w:szCs w:val="22"/>
          <w:lang w:val="en-GB"/>
        </w:rPr>
        <w:t xml:space="preserve">the </w:t>
      </w:r>
      <w:r w:rsidRPr="000171DF">
        <w:rPr>
          <w:rFonts w:ascii="Corbel" w:hAnsi="Corbel" w:cs="Arial"/>
          <w:sz w:val="22"/>
          <w:szCs w:val="22"/>
          <w:lang w:val="en-GB"/>
        </w:rPr>
        <w:t>Lebanese Customs</w:t>
      </w:r>
      <w:r w:rsidRPr="009651FE">
        <w:rPr>
          <w:rFonts w:ascii="Corbel" w:hAnsi="Corbel" w:cs="Arial"/>
          <w:sz w:val="22"/>
          <w:szCs w:val="22"/>
          <w:lang w:val="en-GB"/>
        </w:rPr>
        <w:t xml:space="preserve"> </w:t>
      </w:r>
      <w:r>
        <w:rPr>
          <w:rFonts w:ascii="Corbel" w:hAnsi="Corbel" w:cs="Arial"/>
          <w:sz w:val="22"/>
          <w:szCs w:val="22"/>
          <w:lang w:val="en-GB"/>
        </w:rPr>
        <w:t xml:space="preserve">on </w:t>
      </w:r>
      <w:r w:rsidRPr="009651FE">
        <w:rPr>
          <w:rFonts w:ascii="Corbel" w:hAnsi="Corbel" w:cs="Arial"/>
          <w:sz w:val="22"/>
          <w:szCs w:val="22"/>
          <w:lang w:val="en-GB"/>
        </w:rPr>
        <w:t>a</w:t>
      </w:r>
      <w:r w:rsidRPr="00575CCA">
        <w:rPr>
          <w:rFonts w:ascii="Corbel" w:hAnsi="Corbel" w:cs="Arial"/>
          <w:sz w:val="22"/>
          <w:szCs w:val="22"/>
          <w:lang w:val="en-GB"/>
        </w:rPr>
        <w:t xml:space="preserve"> proposal for a new governance model for the Port of Beirut. </w:t>
      </w:r>
      <w:r>
        <w:rPr>
          <w:rFonts w:ascii="Corbel" w:hAnsi="Corbel" w:cs="Arial"/>
          <w:sz w:val="22"/>
          <w:szCs w:val="22"/>
          <w:lang w:val="en-GB"/>
        </w:rPr>
        <w:t xml:space="preserve">In this framework, </w:t>
      </w:r>
      <w:r>
        <w:rPr>
          <w:rFonts w:ascii="Corbel" w:hAnsi="Corbel" w:cs="Arial"/>
          <w:bCs/>
          <w:sz w:val="22"/>
          <w:szCs w:val="22"/>
          <w:lang w:val="en-GB"/>
        </w:rPr>
        <w:t xml:space="preserve">a </w:t>
      </w:r>
      <w:r w:rsidRPr="00BB107C">
        <w:rPr>
          <w:rFonts w:ascii="Corbel" w:hAnsi="Corbel" w:cs="Arial"/>
          <w:bCs/>
          <w:sz w:val="22"/>
          <w:szCs w:val="22"/>
          <w:lang w:val="en-GB"/>
        </w:rPr>
        <w:t>map</w:t>
      </w:r>
      <w:r>
        <w:rPr>
          <w:rFonts w:ascii="Corbel" w:hAnsi="Corbel" w:cs="Arial"/>
          <w:bCs/>
          <w:sz w:val="22"/>
          <w:szCs w:val="22"/>
          <w:lang w:val="en-GB"/>
        </w:rPr>
        <w:t>ping</w:t>
      </w:r>
      <w:r w:rsidRPr="00BB107C">
        <w:rPr>
          <w:rFonts w:ascii="Corbel" w:hAnsi="Corbel" w:cs="Arial"/>
          <w:bCs/>
          <w:sz w:val="22"/>
          <w:szCs w:val="22"/>
          <w:lang w:val="en-GB"/>
        </w:rPr>
        <w:t xml:space="preserve"> </w:t>
      </w:r>
      <w:r>
        <w:rPr>
          <w:rFonts w:ascii="Corbel" w:hAnsi="Corbel" w:cs="Arial"/>
          <w:bCs/>
          <w:sz w:val="22"/>
          <w:szCs w:val="22"/>
          <w:lang w:val="en-GB"/>
        </w:rPr>
        <w:t xml:space="preserve">of </w:t>
      </w:r>
      <w:r w:rsidRPr="00BB107C">
        <w:rPr>
          <w:rFonts w:ascii="Corbel" w:hAnsi="Corbel" w:cs="Arial"/>
          <w:bCs/>
          <w:sz w:val="22"/>
          <w:szCs w:val="22"/>
          <w:lang w:val="en-GB"/>
        </w:rPr>
        <w:t xml:space="preserve">stakeholders </w:t>
      </w:r>
      <w:r>
        <w:rPr>
          <w:rFonts w:ascii="Corbel" w:hAnsi="Corbel" w:cs="Arial"/>
          <w:bCs/>
          <w:sz w:val="22"/>
          <w:szCs w:val="22"/>
          <w:lang w:val="en-GB"/>
        </w:rPr>
        <w:t>to engage in</w:t>
      </w:r>
      <w:r w:rsidRPr="00BB107C">
        <w:rPr>
          <w:rFonts w:ascii="Corbel" w:hAnsi="Corbel" w:cs="Arial"/>
          <w:bCs/>
          <w:sz w:val="22"/>
          <w:szCs w:val="22"/>
          <w:lang w:val="en-GB"/>
        </w:rPr>
        <w:t xml:space="preserve"> support </w:t>
      </w:r>
      <w:r>
        <w:rPr>
          <w:rFonts w:ascii="Corbel" w:hAnsi="Corbel" w:cs="Arial"/>
          <w:bCs/>
          <w:sz w:val="22"/>
          <w:szCs w:val="22"/>
          <w:lang w:val="en-GB"/>
        </w:rPr>
        <w:t xml:space="preserve">of </w:t>
      </w:r>
      <w:r w:rsidRPr="00BB107C">
        <w:rPr>
          <w:rFonts w:ascii="Corbel" w:hAnsi="Corbel" w:cs="Arial"/>
          <w:bCs/>
          <w:sz w:val="22"/>
          <w:szCs w:val="22"/>
          <w:lang w:val="en-GB"/>
        </w:rPr>
        <w:t>anti-corruption activities in Lebanon</w:t>
      </w:r>
      <w:r>
        <w:rPr>
          <w:rFonts w:ascii="Corbel" w:hAnsi="Corbel" w:cs="Arial"/>
          <w:bCs/>
          <w:sz w:val="22"/>
          <w:szCs w:val="22"/>
          <w:lang w:val="en-GB"/>
        </w:rPr>
        <w:t xml:space="preserve"> was completed as an input to the new governance model for the Port of Beirut</w:t>
      </w:r>
      <w:r w:rsidRPr="00BB107C">
        <w:rPr>
          <w:rFonts w:ascii="Corbel" w:hAnsi="Corbel" w:cs="Arial"/>
          <w:bCs/>
          <w:sz w:val="22"/>
          <w:szCs w:val="22"/>
          <w:lang w:val="en-GB"/>
        </w:rPr>
        <w:t xml:space="preserve"> </w:t>
      </w:r>
      <w:r>
        <w:rPr>
          <w:rFonts w:ascii="Corbel" w:hAnsi="Corbel" w:cs="Arial"/>
          <w:bCs/>
          <w:sz w:val="22"/>
          <w:szCs w:val="22"/>
          <w:lang w:val="en-GB"/>
        </w:rPr>
        <w:t xml:space="preserve">management, </w:t>
      </w:r>
      <w:r w:rsidRPr="00BB107C">
        <w:rPr>
          <w:rFonts w:ascii="Corbel" w:hAnsi="Corbel" w:cs="Arial"/>
          <w:bCs/>
          <w:sz w:val="22"/>
          <w:szCs w:val="22"/>
          <w:lang w:val="en-GB"/>
        </w:rPr>
        <w:t>within the Framework of the Reform- Reconstruction</w:t>
      </w:r>
      <w:r>
        <w:rPr>
          <w:rFonts w:ascii="Corbel" w:hAnsi="Corbel" w:cs="Arial"/>
          <w:bCs/>
          <w:sz w:val="22"/>
          <w:szCs w:val="22"/>
          <w:lang w:val="en-GB"/>
        </w:rPr>
        <w:t xml:space="preserve"> initiative</w:t>
      </w:r>
      <w:r w:rsidRPr="00575CCA">
        <w:rPr>
          <w:rFonts w:ascii="Corbel" w:hAnsi="Corbel" w:cs="Arial"/>
          <w:bCs/>
          <w:sz w:val="22"/>
          <w:szCs w:val="22"/>
          <w:lang w:val="en-GB"/>
        </w:rPr>
        <w:t>.</w:t>
      </w:r>
      <w:bookmarkEnd w:id="188"/>
    </w:p>
    <w:p w14:paraId="50C711F6" w14:textId="77777777" w:rsidR="006C5B93" w:rsidRDefault="006C5B93" w:rsidP="006C5B93">
      <w:pPr>
        <w:spacing w:line="276" w:lineRule="auto"/>
        <w:jc w:val="both"/>
        <w:outlineLvl w:val="0"/>
        <w:rPr>
          <w:rFonts w:ascii="Corbel" w:hAnsi="Corbel" w:cs="Arial"/>
          <w:sz w:val="22"/>
          <w:szCs w:val="22"/>
          <w:lang w:val="en-GB"/>
        </w:rPr>
      </w:pPr>
    </w:p>
    <w:p w14:paraId="0008F90A" w14:textId="66AA32C9" w:rsidR="006C5B93" w:rsidRPr="00194B66" w:rsidRDefault="006C5B93" w:rsidP="006C5B93">
      <w:pPr>
        <w:spacing w:line="276" w:lineRule="auto"/>
        <w:jc w:val="both"/>
        <w:outlineLvl w:val="0"/>
        <w:rPr>
          <w:rFonts w:ascii="Corbel" w:hAnsi="Corbel" w:cs="Arial"/>
          <w:sz w:val="22"/>
          <w:szCs w:val="22"/>
          <w:lang w:val="en-GB"/>
        </w:rPr>
      </w:pPr>
      <w:bookmarkStart w:id="189" w:name="_Toc103506723"/>
      <w:r w:rsidRPr="00194B66">
        <w:rPr>
          <w:rFonts w:ascii="Corbel" w:hAnsi="Corbel" w:cs="Arial"/>
          <w:sz w:val="22"/>
          <w:szCs w:val="22"/>
          <w:lang w:val="en-GB"/>
        </w:rPr>
        <w:t xml:space="preserve">The project team developed a risk management methodology for border control agencies and related training materials. Although a capacity development seminar for customs officers planned for 2020 was initially delayed due to COVID-19 travel restrictions, and later </w:t>
      </w:r>
      <w:r w:rsidR="000A3493" w:rsidRPr="00194B66">
        <w:rPr>
          <w:rFonts w:ascii="Corbel" w:hAnsi="Corbel" w:cs="Arial"/>
          <w:sz w:val="22"/>
          <w:szCs w:val="22"/>
          <w:lang w:val="en-GB"/>
        </w:rPr>
        <w:t>cancelled</w:t>
      </w:r>
      <w:r w:rsidRPr="00194B66">
        <w:rPr>
          <w:rFonts w:ascii="Corbel" w:hAnsi="Corbel" w:cs="Arial"/>
          <w:sz w:val="22"/>
          <w:szCs w:val="22"/>
          <w:lang w:val="en-GB"/>
        </w:rPr>
        <w:t xml:space="preserve"> due to a shift in countries’ priorities, </w:t>
      </w:r>
      <w:bookmarkStart w:id="190" w:name="_Hlk91861855"/>
      <w:r w:rsidRPr="00194B66">
        <w:rPr>
          <w:rFonts w:ascii="Corbel" w:hAnsi="Corbel" w:cs="Arial"/>
          <w:sz w:val="22"/>
          <w:szCs w:val="22"/>
          <w:lang w:val="en-GB"/>
        </w:rPr>
        <w:t xml:space="preserve">the risk management framework was presented to Arab countries during </w:t>
      </w:r>
      <w:r>
        <w:rPr>
          <w:rFonts w:ascii="Corbel" w:hAnsi="Corbel" w:cs="Arial"/>
          <w:sz w:val="22"/>
          <w:szCs w:val="22"/>
          <w:lang w:val="en-GB"/>
        </w:rPr>
        <w:t>a</w:t>
      </w:r>
      <w:r w:rsidRPr="00194B66">
        <w:rPr>
          <w:rFonts w:ascii="Corbel" w:hAnsi="Corbel" w:cs="Arial"/>
          <w:sz w:val="22"/>
          <w:szCs w:val="22"/>
          <w:lang w:val="en-GB"/>
        </w:rPr>
        <w:t xml:space="preserve"> Trade Facilitation Workshop in 2021.</w:t>
      </w:r>
      <w:bookmarkEnd w:id="189"/>
    </w:p>
    <w:bookmarkEnd w:id="190"/>
    <w:p w14:paraId="1775F0D2" w14:textId="77777777" w:rsidR="006C5B93" w:rsidRPr="004D2930" w:rsidRDefault="006C5B93" w:rsidP="004D2930">
      <w:pPr>
        <w:spacing w:line="276" w:lineRule="auto"/>
        <w:jc w:val="both"/>
        <w:outlineLvl w:val="0"/>
        <w:rPr>
          <w:rFonts w:ascii="Corbel" w:hAnsi="Corbel" w:cs="Arial"/>
          <w:bCs/>
          <w:sz w:val="21"/>
          <w:szCs w:val="21"/>
          <w:lang w:val="en-GB"/>
        </w:rPr>
      </w:pPr>
    </w:p>
    <w:tbl>
      <w:tblPr>
        <w:tblW w:w="10196" w:type="dxa"/>
        <w:jc w:val="center"/>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Look w:val="04A0" w:firstRow="1" w:lastRow="0" w:firstColumn="1" w:lastColumn="0" w:noHBand="0" w:noVBand="1"/>
      </w:tblPr>
      <w:tblGrid>
        <w:gridCol w:w="2997"/>
        <w:gridCol w:w="3089"/>
        <w:gridCol w:w="4110"/>
      </w:tblGrid>
      <w:tr w:rsidR="00BE1F2D" w:rsidRPr="00EF1F01" w14:paraId="3E7E06D5" w14:textId="77777777" w:rsidTr="4F6DD0A6">
        <w:trPr>
          <w:trHeight w:val="412"/>
          <w:jc w:val="center"/>
        </w:trPr>
        <w:tc>
          <w:tcPr>
            <w:tcW w:w="10196" w:type="dxa"/>
            <w:gridSpan w:val="3"/>
            <w:shd w:val="clear" w:color="auto" w:fill="0070C0"/>
          </w:tcPr>
          <w:p w14:paraId="1848DE1F" w14:textId="146F48EF" w:rsidR="00BE1F2D" w:rsidRPr="00EF1F01" w:rsidRDefault="00BE1F2D" w:rsidP="00BE1F2D">
            <w:pPr>
              <w:rPr>
                <w:rFonts w:ascii="Corbel" w:hAnsi="Corbel" w:cs="Arial"/>
                <w:b/>
                <w:sz w:val="21"/>
                <w:szCs w:val="21"/>
                <w:lang w:val="en-GB"/>
              </w:rPr>
            </w:pPr>
            <w:r w:rsidRPr="00EF1F01">
              <w:rPr>
                <w:rFonts w:ascii="Corbel" w:hAnsi="Corbel" w:cs="Arial"/>
                <w:b/>
                <w:bCs/>
                <w:color w:val="FFFFFF"/>
                <w:sz w:val="21"/>
                <w:szCs w:val="21"/>
                <w:lang w:val="en-GB" w:eastAsia="en-US"/>
              </w:rPr>
              <w:t xml:space="preserve">Project Output </w:t>
            </w:r>
            <w:r w:rsidR="000E248A" w:rsidRPr="00EF1F01">
              <w:rPr>
                <w:rFonts w:ascii="Corbel" w:hAnsi="Corbel" w:cs="Arial"/>
                <w:b/>
                <w:bCs/>
                <w:color w:val="FFFFFF"/>
                <w:sz w:val="21"/>
                <w:szCs w:val="21"/>
                <w:lang w:val="en-GB" w:eastAsia="en-US"/>
              </w:rPr>
              <w:t>5</w:t>
            </w:r>
            <w:r w:rsidRPr="00EF1F01">
              <w:rPr>
                <w:rFonts w:ascii="Corbel" w:hAnsi="Corbel" w:cs="Arial"/>
                <w:b/>
                <w:bCs/>
                <w:color w:val="FFFFFF"/>
                <w:sz w:val="21"/>
                <w:szCs w:val="21"/>
                <w:lang w:val="en-GB" w:eastAsia="en-US"/>
              </w:rPr>
              <w:t>: Improvement of related regulatory frameworks for integrity, aiming for good governance for trade development measures</w:t>
            </w:r>
          </w:p>
        </w:tc>
      </w:tr>
      <w:tr w:rsidR="00BE1F2D" w:rsidRPr="00EF1F01" w14:paraId="6BADCFDF" w14:textId="77777777" w:rsidTr="4F6DD0A6">
        <w:trPr>
          <w:trHeight w:val="412"/>
          <w:jc w:val="center"/>
        </w:trPr>
        <w:tc>
          <w:tcPr>
            <w:tcW w:w="2997" w:type="dxa"/>
            <w:shd w:val="clear" w:color="auto" w:fill="auto"/>
          </w:tcPr>
          <w:p w14:paraId="03D8DC5E" w14:textId="77777777" w:rsidR="00BE1F2D" w:rsidRPr="00EF1F01" w:rsidRDefault="00BE1F2D" w:rsidP="00BE1F2D">
            <w:pPr>
              <w:outlineLvl w:val="0"/>
              <w:rPr>
                <w:rFonts w:ascii="Corbel" w:hAnsi="Corbel" w:cs="Arial"/>
                <w:b/>
                <w:sz w:val="21"/>
                <w:szCs w:val="21"/>
                <w:lang w:val="en-GB"/>
              </w:rPr>
            </w:pPr>
            <w:bookmarkStart w:id="191" w:name="_Toc103506724"/>
            <w:r w:rsidRPr="00EF1F01">
              <w:rPr>
                <w:rFonts w:ascii="Corbel" w:hAnsi="Corbel" w:cs="Arial"/>
                <w:b/>
                <w:sz w:val="21"/>
                <w:szCs w:val="21"/>
                <w:lang w:val="en-GB"/>
              </w:rPr>
              <w:t>Output indicators</w:t>
            </w:r>
            <w:bookmarkEnd w:id="191"/>
          </w:p>
          <w:p w14:paraId="318AC476" w14:textId="77777777" w:rsidR="00BE1F2D" w:rsidRPr="00EF1F01" w:rsidRDefault="00BE1F2D" w:rsidP="00BE1F2D">
            <w:pPr>
              <w:outlineLvl w:val="0"/>
              <w:rPr>
                <w:rFonts w:ascii="Corbel" w:hAnsi="Corbel" w:cs="Arial"/>
                <w:b/>
                <w:sz w:val="21"/>
                <w:szCs w:val="21"/>
                <w:lang w:val="en-GB"/>
              </w:rPr>
            </w:pPr>
          </w:p>
        </w:tc>
        <w:tc>
          <w:tcPr>
            <w:tcW w:w="3089" w:type="dxa"/>
            <w:shd w:val="clear" w:color="auto" w:fill="auto"/>
          </w:tcPr>
          <w:p w14:paraId="339FB331" w14:textId="77777777" w:rsidR="00BE1F2D" w:rsidRPr="00EF1F01" w:rsidRDefault="00BE1F2D" w:rsidP="00BE1F2D">
            <w:pPr>
              <w:outlineLvl w:val="0"/>
              <w:rPr>
                <w:rFonts w:ascii="Corbel" w:hAnsi="Corbel" w:cs="Arial"/>
                <w:b/>
                <w:sz w:val="21"/>
                <w:szCs w:val="21"/>
                <w:lang w:val="en-GB"/>
              </w:rPr>
            </w:pPr>
            <w:bookmarkStart w:id="192" w:name="_Toc103506725"/>
            <w:r w:rsidRPr="00EF1F01">
              <w:rPr>
                <w:rFonts w:ascii="Corbel" w:hAnsi="Corbel" w:cs="Arial"/>
                <w:b/>
                <w:sz w:val="21"/>
                <w:szCs w:val="21"/>
                <w:lang w:val="en-GB"/>
              </w:rPr>
              <w:t>Targets</w:t>
            </w:r>
            <w:bookmarkEnd w:id="192"/>
            <w:r w:rsidRPr="00EF1F01">
              <w:rPr>
                <w:rFonts w:ascii="Corbel" w:hAnsi="Corbel" w:cs="Arial"/>
                <w:b/>
                <w:sz w:val="21"/>
                <w:szCs w:val="21"/>
                <w:lang w:val="en-GB"/>
              </w:rPr>
              <w:t xml:space="preserve"> </w:t>
            </w:r>
          </w:p>
        </w:tc>
        <w:tc>
          <w:tcPr>
            <w:tcW w:w="4110" w:type="dxa"/>
            <w:shd w:val="clear" w:color="auto" w:fill="auto"/>
          </w:tcPr>
          <w:p w14:paraId="10AA2DDA" w14:textId="77777777" w:rsidR="00BE1F2D" w:rsidRPr="00EF1F01" w:rsidRDefault="00BE1F2D" w:rsidP="00BE1F2D">
            <w:pPr>
              <w:outlineLvl w:val="0"/>
              <w:rPr>
                <w:rFonts w:ascii="Corbel" w:hAnsi="Corbel" w:cs="Arial"/>
                <w:b/>
                <w:sz w:val="21"/>
                <w:szCs w:val="21"/>
                <w:lang w:val="en-GB"/>
              </w:rPr>
            </w:pPr>
            <w:bookmarkStart w:id="193" w:name="_Toc103506726"/>
            <w:r w:rsidRPr="00EF1F01">
              <w:rPr>
                <w:rFonts w:ascii="Corbel" w:hAnsi="Corbel" w:cs="Arial"/>
                <w:b/>
                <w:sz w:val="21"/>
                <w:szCs w:val="21"/>
                <w:lang w:val="en-GB"/>
              </w:rPr>
              <w:t>Progress against targets</w:t>
            </w:r>
            <w:bookmarkEnd w:id="193"/>
          </w:p>
        </w:tc>
      </w:tr>
      <w:tr w:rsidR="00BE1F2D" w:rsidRPr="00EF1F01" w14:paraId="08642417" w14:textId="77777777" w:rsidTr="4F6DD0A6">
        <w:trPr>
          <w:trHeight w:val="412"/>
          <w:jc w:val="center"/>
        </w:trPr>
        <w:tc>
          <w:tcPr>
            <w:tcW w:w="2997" w:type="dxa"/>
            <w:shd w:val="clear" w:color="auto" w:fill="auto"/>
          </w:tcPr>
          <w:p w14:paraId="1B4DB258" w14:textId="2E4BE2CF" w:rsidR="000E248A" w:rsidRPr="00EF1F01" w:rsidRDefault="000E248A" w:rsidP="000E248A">
            <w:pPr>
              <w:jc w:val="both"/>
              <w:rPr>
                <w:rFonts w:ascii="Corbel" w:hAnsi="Corbel" w:cstheme="minorHAnsi"/>
                <w:sz w:val="20"/>
                <w:szCs w:val="20"/>
                <w:lang w:val="en-GB"/>
              </w:rPr>
            </w:pPr>
            <w:r w:rsidRPr="00EF1F01">
              <w:rPr>
                <w:rFonts w:ascii="Corbel" w:hAnsi="Corbel" w:cstheme="minorHAnsi"/>
                <w:sz w:val="20"/>
                <w:szCs w:val="20"/>
                <w:u w:val="single"/>
                <w:lang w:val="en-GB"/>
              </w:rPr>
              <w:t>Indicator 5.1:</w:t>
            </w:r>
            <w:r w:rsidRPr="00EF1F01">
              <w:rPr>
                <w:rFonts w:ascii="Corbel" w:hAnsi="Corbel" w:cstheme="minorHAnsi"/>
                <w:sz w:val="20"/>
                <w:szCs w:val="20"/>
                <w:lang w:val="en-GB"/>
              </w:rPr>
              <w:t xml:space="preserve"> </w:t>
            </w:r>
            <w:r w:rsidR="00C55D26" w:rsidRPr="00EF1F01">
              <w:rPr>
                <w:rFonts w:ascii="Corbel" w:hAnsi="Corbel" w:cstheme="minorHAnsi"/>
                <w:sz w:val="20"/>
                <w:szCs w:val="20"/>
                <w:lang w:val="en-GB"/>
              </w:rPr>
              <w:t xml:space="preserve"> </w:t>
            </w:r>
            <w:r w:rsidR="00C55D26" w:rsidRPr="00EF1F01">
              <w:rPr>
                <w:rFonts w:ascii="Corbel" w:hAnsi="Corbel" w:cstheme="minorHAnsi"/>
                <w:sz w:val="20"/>
                <w:szCs w:val="20"/>
              </w:rPr>
              <w:t>Availability of information on corruption risks and integrity challenges that undermine Arab economic integration</w:t>
            </w:r>
          </w:p>
          <w:p w14:paraId="060C8963" w14:textId="64241924" w:rsidR="00BE1F2D" w:rsidRPr="00EF1F01" w:rsidRDefault="00BE1F2D" w:rsidP="00BE1F2D">
            <w:pPr>
              <w:outlineLvl w:val="0"/>
              <w:rPr>
                <w:rFonts w:ascii="Corbel" w:hAnsi="Corbel" w:cs="Arial"/>
                <w:b/>
                <w:sz w:val="20"/>
                <w:szCs w:val="20"/>
                <w:lang w:val="en-GB"/>
              </w:rPr>
            </w:pPr>
          </w:p>
        </w:tc>
        <w:tc>
          <w:tcPr>
            <w:tcW w:w="3089" w:type="dxa"/>
            <w:shd w:val="clear" w:color="auto" w:fill="auto"/>
          </w:tcPr>
          <w:p w14:paraId="361DA8FA" w14:textId="77777777" w:rsidR="0083515B" w:rsidRPr="00EF1F01" w:rsidRDefault="0083515B" w:rsidP="0083515B">
            <w:pPr>
              <w:widowControl w:val="0"/>
              <w:spacing w:line="288" w:lineRule="auto"/>
              <w:ind w:left="99"/>
              <w:contextualSpacing/>
              <w:jc w:val="both"/>
              <w:outlineLvl w:val="0"/>
              <w:rPr>
                <w:rFonts w:ascii="Corbel" w:hAnsi="Corbel" w:cs="Arial"/>
                <w:bCs/>
                <w:sz w:val="20"/>
                <w:szCs w:val="20"/>
                <w:u w:val="single"/>
                <w:lang w:val="en-GB"/>
              </w:rPr>
            </w:pPr>
            <w:bookmarkStart w:id="194" w:name="_Toc103506727"/>
            <w:r w:rsidRPr="00EF1F01">
              <w:rPr>
                <w:rFonts w:ascii="Corbel" w:hAnsi="Corbel" w:cs="Arial"/>
                <w:bCs/>
                <w:sz w:val="20"/>
                <w:szCs w:val="20"/>
                <w:u w:val="single"/>
                <w:lang w:val="en-GB"/>
              </w:rPr>
              <w:t xml:space="preserve">Baseline 5.1: </w:t>
            </w:r>
            <w:r w:rsidRPr="00EF1F01">
              <w:rPr>
                <w:rFonts w:ascii="Corbel" w:hAnsi="Corbel" w:cs="Arial"/>
                <w:bCs/>
                <w:sz w:val="20"/>
                <w:szCs w:val="20"/>
                <w:lang w:val="en-GB"/>
              </w:rPr>
              <w:t>No coherent body of information available on corruption risks and integrity challenges that undermine Arab economic integration</w:t>
            </w:r>
            <w:bookmarkEnd w:id="194"/>
          </w:p>
          <w:p w14:paraId="4E713860" w14:textId="77777777" w:rsidR="0083515B" w:rsidRPr="00EF1F01" w:rsidRDefault="0083515B" w:rsidP="000E248A">
            <w:pPr>
              <w:widowControl w:val="0"/>
              <w:spacing w:line="288" w:lineRule="auto"/>
              <w:ind w:left="99"/>
              <w:contextualSpacing/>
              <w:outlineLvl w:val="0"/>
              <w:rPr>
                <w:rFonts w:ascii="Corbel" w:hAnsi="Corbel" w:cs="Arial"/>
                <w:bCs/>
                <w:sz w:val="20"/>
                <w:szCs w:val="20"/>
                <w:u w:val="single"/>
                <w:lang w:val="en-GB"/>
              </w:rPr>
            </w:pPr>
          </w:p>
          <w:p w14:paraId="24C39C33" w14:textId="129AC5A7" w:rsidR="00051CE0" w:rsidRPr="00EF1F01" w:rsidRDefault="00656818" w:rsidP="00112082">
            <w:pPr>
              <w:widowControl w:val="0"/>
              <w:spacing w:line="288" w:lineRule="auto"/>
              <w:ind w:left="99"/>
              <w:contextualSpacing/>
              <w:outlineLvl w:val="0"/>
              <w:rPr>
                <w:rFonts w:ascii="Corbel" w:hAnsi="Corbel" w:cs="Arial"/>
                <w:bCs/>
                <w:sz w:val="20"/>
                <w:szCs w:val="20"/>
                <w:lang w:val="en-GB"/>
              </w:rPr>
            </w:pPr>
            <w:bookmarkStart w:id="195" w:name="_Toc103506728"/>
            <w:r w:rsidRPr="00EF1F01">
              <w:rPr>
                <w:rFonts w:ascii="Corbel" w:hAnsi="Corbel" w:cs="Arial"/>
                <w:bCs/>
                <w:sz w:val="20"/>
                <w:szCs w:val="20"/>
                <w:u w:val="single"/>
                <w:lang w:val="en-GB"/>
              </w:rPr>
              <w:t>Target 5.1</w:t>
            </w:r>
            <w:r w:rsidRPr="00EF1F01">
              <w:rPr>
                <w:rFonts w:ascii="Corbel" w:hAnsi="Corbel" w:cs="Arial"/>
                <w:bCs/>
                <w:sz w:val="20"/>
                <w:szCs w:val="20"/>
                <w:lang w:val="en-GB"/>
              </w:rPr>
              <w:t xml:space="preserve">: </w:t>
            </w:r>
            <w:r w:rsidR="000E248A" w:rsidRPr="00EF1F01">
              <w:rPr>
                <w:rFonts w:ascii="Corbel" w:hAnsi="Corbel" w:cs="Arial"/>
                <w:bCs/>
                <w:sz w:val="20"/>
                <w:szCs w:val="20"/>
                <w:lang w:val="en-GB"/>
              </w:rPr>
              <w:t xml:space="preserve">Information </w:t>
            </w:r>
            <w:r w:rsidR="0083515B" w:rsidRPr="00EF1F01">
              <w:rPr>
                <w:rFonts w:ascii="Corbel" w:hAnsi="Corbel" w:cs="Arial"/>
                <w:bCs/>
                <w:sz w:val="20"/>
                <w:szCs w:val="20"/>
                <w:lang w:val="en-GB"/>
              </w:rPr>
              <w:t>available</w:t>
            </w:r>
            <w:r w:rsidR="00051CE0" w:rsidRPr="00EF1F01">
              <w:rPr>
                <w:rFonts w:ascii="Corbel" w:hAnsi="Corbel" w:cs="Arial"/>
                <w:bCs/>
                <w:sz w:val="20"/>
                <w:szCs w:val="20"/>
                <w:lang w:val="en-GB"/>
              </w:rPr>
              <w:t xml:space="preserve"> </w:t>
            </w:r>
            <w:r w:rsidR="00051CE0" w:rsidRPr="00EF1F01">
              <w:rPr>
                <w:rFonts w:ascii="Corbel" w:hAnsi="Corbel" w:cstheme="minorHAnsi"/>
                <w:sz w:val="20"/>
                <w:szCs w:val="20"/>
                <w:lang w:val="en-GB"/>
              </w:rPr>
              <w:t xml:space="preserve">on </w:t>
            </w:r>
            <w:hyperlink r:id="rId13" w:history="1">
              <w:r w:rsidR="00051CE0" w:rsidRPr="00EF1F01">
                <w:rPr>
                  <w:rStyle w:val="Hyperlink"/>
                  <w:rFonts w:ascii="Corbel" w:hAnsi="Corbel" w:cstheme="minorHAnsi"/>
                  <w:sz w:val="20"/>
                  <w:szCs w:val="20"/>
                  <w:lang w:val="en-GB"/>
                </w:rPr>
                <w:t>www.arabacinet.org</w:t>
              </w:r>
              <w:bookmarkEnd w:id="195"/>
            </w:hyperlink>
          </w:p>
        </w:tc>
        <w:tc>
          <w:tcPr>
            <w:tcW w:w="4110" w:type="dxa"/>
            <w:shd w:val="clear" w:color="auto" w:fill="auto"/>
          </w:tcPr>
          <w:p w14:paraId="2C606089" w14:textId="6D679E7F" w:rsidR="00014F37" w:rsidRPr="00E2066A" w:rsidRDefault="00E2066A" w:rsidP="00E2066A">
            <w:pPr>
              <w:tabs>
                <w:tab w:val="left" w:pos="528"/>
              </w:tabs>
              <w:outlineLvl w:val="0"/>
              <w:rPr>
                <w:rFonts w:ascii="Corbel" w:hAnsi="Corbel" w:cs="Arial"/>
                <w:bCs/>
                <w:sz w:val="20"/>
                <w:szCs w:val="20"/>
                <w:lang w:val="en-GB"/>
              </w:rPr>
            </w:pPr>
            <w:bookmarkStart w:id="196" w:name="_Toc103506729"/>
            <w:r>
              <w:rPr>
                <w:rFonts w:ascii="Corbel" w:hAnsi="Corbel" w:cstheme="minorHAnsi"/>
                <w:sz w:val="20"/>
                <w:szCs w:val="20"/>
                <w:lang w:val="en-GB"/>
              </w:rPr>
              <w:t xml:space="preserve">5.1 </w:t>
            </w:r>
            <w:r w:rsidR="22315DF6" w:rsidRPr="00E2066A">
              <w:rPr>
                <w:rFonts w:ascii="Corbel" w:hAnsi="Corbel" w:cstheme="minorHAnsi"/>
                <w:sz w:val="20"/>
                <w:szCs w:val="20"/>
                <w:lang w:val="en-GB"/>
              </w:rPr>
              <w:t>S</w:t>
            </w:r>
            <w:r w:rsidR="2EA257CE" w:rsidRPr="00E2066A">
              <w:rPr>
                <w:rFonts w:ascii="Corbel" w:hAnsi="Corbel" w:cstheme="minorHAnsi"/>
                <w:sz w:val="20"/>
                <w:szCs w:val="20"/>
                <w:lang w:val="en-GB"/>
              </w:rPr>
              <w:t>ome</w:t>
            </w:r>
            <w:r w:rsidR="160F7EE4" w:rsidRPr="00E2066A">
              <w:rPr>
                <w:rFonts w:ascii="Corbel" w:hAnsi="Corbel" w:cstheme="minorHAnsi"/>
                <w:sz w:val="20"/>
                <w:szCs w:val="20"/>
                <w:lang w:val="en-GB"/>
              </w:rPr>
              <w:t xml:space="preserve"> information was collected through </w:t>
            </w:r>
            <w:r w:rsidR="1724B016" w:rsidRPr="00E2066A">
              <w:rPr>
                <w:rFonts w:ascii="Corbel" w:hAnsi="Corbel" w:cstheme="minorHAnsi"/>
                <w:sz w:val="20"/>
                <w:szCs w:val="20"/>
                <w:lang w:val="en-GB"/>
              </w:rPr>
              <w:t xml:space="preserve">an </w:t>
            </w:r>
            <w:r w:rsidR="11CBF998" w:rsidRPr="00E2066A">
              <w:rPr>
                <w:rFonts w:ascii="Corbel" w:hAnsi="Corbel" w:cstheme="minorHAnsi"/>
                <w:sz w:val="20"/>
                <w:szCs w:val="20"/>
                <w:lang w:val="en-GB"/>
              </w:rPr>
              <w:t xml:space="preserve">analysis of exposure to corrupt </w:t>
            </w:r>
            <w:r w:rsidR="0165AB99" w:rsidRPr="00E2066A">
              <w:rPr>
                <w:rFonts w:ascii="Corbel" w:hAnsi="Corbel" w:cstheme="minorHAnsi"/>
                <w:sz w:val="20"/>
                <w:szCs w:val="20"/>
                <w:lang w:val="en-GB"/>
              </w:rPr>
              <w:t xml:space="preserve">border control </w:t>
            </w:r>
            <w:r w:rsidR="11CBF998" w:rsidRPr="00E2066A">
              <w:rPr>
                <w:rFonts w:ascii="Corbel" w:hAnsi="Corbel" w:cstheme="minorHAnsi"/>
                <w:sz w:val="20"/>
                <w:szCs w:val="20"/>
                <w:lang w:val="en-GB"/>
              </w:rPr>
              <w:t xml:space="preserve">practices </w:t>
            </w:r>
            <w:r w:rsidR="1724B016" w:rsidRPr="00E2066A">
              <w:rPr>
                <w:rFonts w:ascii="Corbel" w:hAnsi="Corbel" w:cstheme="minorHAnsi"/>
                <w:sz w:val="20"/>
                <w:szCs w:val="20"/>
                <w:lang w:val="en-GB"/>
              </w:rPr>
              <w:t>based on</w:t>
            </w:r>
            <w:r w:rsidR="0AAC9C02" w:rsidRPr="00E2066A">
              <w:rPr>
                <w:rFonts w:ascii="Corbel" w:hAnsi="Corbel" w:cstheme="minorHAnsi"/>
                <w:sz w:val="20"/>
                <w:szCs w:val="20"/>
                <w:lang w:val="en-GB"/>
              </w:rPr>
              <w:t xml:space="preserve"> </w:t>
            </w:r>
            <w:r w:rsidR="11CBF998" w:rsidRPr="00E2066A">
              <w:rPr>
                <w:rFonts w:ascii="Corbel" w:hAnsi="Corbel" w:cstheme="minorHAnsi"/>
                <w:sz w:val="20"/>
                <w:szCs w:val="20"/>
                <w:lang w:val="en-GB"/>
              </w:rPr>
              <w:t xml:space="preserve">a sample of 96 business processes by six </w:t>
            </w:r>
            <w:r w:rsidR="43951462" w:rsidRPr="00E2066A">
              <w:rPr>
                <w:rFonts w:ascii="Corbel" w:hAnsi="Corbel" w:cstheme="minorHAnsi"/>
                <w:sz w:val="20"/>
                <w:szCs w:val="20"/>
                <w:lang w:val="en-GB"/>
              </w:rPr>
              <w:t xml:space="preserve">control </w:t>
            </w:r>
            <w:r w:rsidR="11CBF998" w:rsidRPr="00E2066A">
              <w:rPr>
                <w:rFonts w:ascii="Corbel" w:hAnsi="Corbel" w:cstheme="minorHAnsi"/>
                <w:sz w:val="20"/>
                <w:szCs w:val="20"/>
                <w:lang w:val="en-GB"/>
              </w:rPr>
              <w:t>agencies</w:t>
            </w:r>
            <w:r w:rsidR="387A9459" w:rsidRPr="00E2066A">
              <w:rPr>
                <w:rFonts w:ascii="Corbel" w:hAnsi="Corbel" w:cstheme="minorHAnsi"/>
                <w:sz w:val="20"/>
                <w:szCs w:val="20"/>
                <w:lang w:val="en-GB"/>
              </w:rPr>
              <w:t xml:space="preserve"> in Jordan. Nevertheless, the Jordan authorities </w:t>
            </w:r>
            <w:r w:rsidR="71A4EAEA" w:rsidRPr="00E2066A">
              <w:rPr>
                <w:rFonts w:ascii="Corbel" w:hAnsi="Corbel" w:cstheme="minorHAnsi"/>
                <w:sz w:val="20"/>
                <w:szCs w:val="20"/>
                <w:lang w:val="en-GB"/>
              </w:rPr>
              <w:t>has</w:t>
            </w:r>
            <w:r w:rsidR="387A9459" w:rsidRPr="00E2066A">
              <w:rPr>
                <w:rFonts w:ascii="Corbel" w:hAnsi="Corbel" w:cstheme="minorHAnsi"/>
                <w:sz w:val="20"/>
                <w:szCs w:val="20"/>
                <w:lang w:val="en-GB"/>
              </w:rPr>
              <w:t xml:space="preserve"> not </w:t>
            </w:r>
            <w:r w:rsidR="2C460DB8" w:rsidRPr="00E2066A">
              <w:rPr>
                <w:rFonts w:ascii="Corbel" w:hAnsi="Corbel" w:cstheme="minorHAnsi"/>
                <w:sz w:val="20"/>
                <w:szCs w:val="20"/>
                <w:lang w:val="en-GB"/>
              </w:rPr>
              <w:t xml:space="preserve">yet </w:t>
            </w:r>
            <w:r w:rsidR="387A9459" w:rsidRPr="00E2066A">
              <w:rPr>
                <w:rFonts w:ascii="Corbel" w:hAnsi="Corbel" w:cstheme="minorHAnsi"/>
                <w:sz w:val="20"/>
                <w:szCs w:val="20"/>
                <w:lang w:val="en-GB"/>
              </w:rPr>
              <w:t>granted the permission to p</w:t>
            </w:r>
            <w:r w:rsidR="58585A61" w:rsidRPr="00E2066A">
              <w:rPr>
                <w:rFonts w:ascii="Corbel" w:hAnsi="Corbel" w:cstheme="minorHAnsi"/>
                <w:sz w:val="20"/>
                <w:szCs w:val="20"/>
                <w:lang w:val="en-GB"/>
              </w:rPr>
              <w:t>ublish the findings</w:t>
            </w:r>
            <w:r w:rsidR="2CFE3EA9" w:rsidRPr="00E2066A">
              <w:rPr>
                <w:rFonts w:ascii="Corbel" w:hAnsi="Corbel" w:cstheme="minorHAnsi"/>
                <w:sz w:val="20"/>
                <w:szCs w:val="20"/>
                <w:lang w:val="en-GB"/>
              </w:rPr>
              <w:t>.</w:t>
            </w:r>
            <w:bookmarkEnd w:id="196"/>
            <w:r w:rsidR="2CFE3EA9" w:rsidRPr="00E2066A">
              <w:rPr>
                <w:rFonts w:ascii="Corbel" w:hAnsi="Corbel" w:cstheme="minorHAnsi"/>
                <w:sz w:val="20"/>
                <w:szCs w:val="20"/>
                <w:lang w:val="en-GB"/>
              </w:rPr>
              <w:t xml:space="preserve"> </w:t>
            </w:r>
          </w:p>
        </w:tc>
      </w:tr>
    </w:tbl>
    <w:p w14:paraId="6FDB35AA" w14:textId="47ECBC6C" w:rsidR="00D12064" w:rsidRDefault="00D12064" w:rsidP="00D12064">
      <w:pPr>
        <w:outlineLvl w:val="0"/>
        <w:rPr>
          <w:rFonts w:ascii="Corbel" w:hAnsi="Corbel" w:cs="Arial"/>
          <w:b/>
          <w:sz w:val="22"/>
          <w:szCs w:val="22"/>
          <w:lang w:val="en-GB"/>
        </w:rPr>
      </w:pPr>
    </w:p>
    <w:p w14:paraId="60055991" w14:textId="6FBFAE91" w:rsidR="003222E1" w:rsidRDefault="006C5B93" w:rsidP="00D12064">
      <w:pPr>
        <w:outlineLvl w:val="0"/>
        <w:rPr>
          <w:rFonts w:ascii="Corbel" w:hAnsi="Corbel" w:cs="Arial"/>
          <w:b/>
          <w:bCs/>
          <w:sz w:val="22"/>
          <w:szCs w:val="22"/>
          <w:lang w:val="en-GB"/>
        </w:rPr>
      </w:pPr>
      <w:bookmarkStart w:id="197" w:name="_Toc103506730"/>
      <w:r w:rsidRPr="006C5B93">
        <w:rPr>
          <w:rFonts w:ascii="Corbel" w:hAnsi="Corbel" w:cs="Arial"/>
          <w:b/>
          <w:bCs/>
          <w:sz w:val="22"/>
          <w:szCs w:val="22"/>
          <w:lang w:val="en-GB"/>
        </w:rPr>
        <w:lastRenderedPageBreak/>
        <w:t xml:space="preserve">Output 6: Supporting gender responsive mechanisms to ensure systematic integration of gender sensitivities in trade </w:t>
      </w:r>
      <w:r w:rsidR="000A3493" w:rsidRPr="006C5B93">
        <w:rPr>
          <w:rFonts w:ascii="Corbel" w:hAnsi="Corbel" w:cs="Arial"/>
          <w:b/>
          <w:bCs/>
          <w:sz w:val="22"/>
          <w:szCs w:val="22"/>
          <w:lang w:val="en-GB"/>
        </w:rPr>
        <w:t>policymaking</w:t>
      </w:r>
      <w:r w:rsidRPr="006C5B93">
        <w:rPr>
          <w:rFonts w:ascii="Corbel" w:hAnsi="Corbel" w:cs="Arial"/>
          <w:b/>
          <w:bCs/>
          <w:sz w:val="22"/>
          <w:szCs w:val="22"/>
          <w:lang w:val="en-GB"/>
        </w:rPr>
        <w:t xml:space="preserve"> and negotiations</w:t>
      </w:r>
      <w:bookmarkEnd w:id="197"/>
    </w:p>
    <w:p w14:paraId="6A39BCEE" w14:textId="77777777" w:rsidR="00BD47C0" w:rsidRDefault="00BD47C0" w:rsidP="00D12064">
      <w:pPr>
        <w:outlineLvl w:val="0"/>
        <w:rPr>
          <w:rFonts w:ascii="Corbel" w:hAnsi="Corbel" w:cs="Arial"/>
          <w:b/>
          <w:bCs/>
          <w:sz w:val="22"/>
          <w:szCs w:val="22"/>
          <w:lang w:val="en-GB"/>
        </w:rPr>
      </w:pPr>
    </w:p>
    <w:p w14:paraId="6BC8BF6B" w14:textId="0A8AE11F" w:rsidR="00BD47C0" w:rsidRPr="0056242D" w:rsidRDefault="00BD47C0" w:rsidP="4F6DD0A6">
      <w:pPr>
        <w:spacing w:line="276" w:lineRule="auto"/>
        <w:outlineLvl w:val="0"/>
        <w:rPr>
          <w:rFonts w:ascii="Corbel" w:hAnsi="Corbel" w:cs="Arial"/>
          <w:b/>
          <w:bCs/>
          <w:sz w:val="22"/>
          <w:szCs w:val="22"/>
          <w:lang w:val="en-GB"/>
        </w:rPr>
      </w:pPr>
      <w:bookmarkStart w:id="198" w:name="_Toc103506731"/>
      <w:r w:rsidRPr="4F6DD0A6">
        <w:rPr>
          <w:rFonts w:ascii="Corbel" w:hAnsi="Corbel" w:cs="Arial"/>
          <w:sz w:val="22"/>
          <w:szCs w:val="22"/>
          <w:lang w:val="en-GB"/>
        </w:rPr>
        <w:t xml:space="preserve">A </w:t>
      </w:r>
      <w:r w:rsidRPr="4F6DD0A6">
        <w:rPr>
          <w:rFonts w:ascii="Corbel" w:hAnsi="Corbel" w:cstheme="minorBidi"/>
          <w:sz w:val="22"/>
          <w:szCs w:val="22"/>
          <w:lang w:val="en-GB"/>
        </w:rPr>
        <w:t xml:space="preserve">Sustainable Impact Assessment (SIA) and Gender Trade Impact Assessment (GTIA) to evaluate the effects of trade agreements and policies on </w:t>
      </w:r>
      <w:r w:rsidR="00025AA2">
        <w:rPr>
          <w:rFonts w:ascii="Corbel" w:hAnsi="Corbel" w:cstheme="minorBidi"/>
          <w:sz w:val="22"/>
          <w:szCs w:val="22"/>
          <w:lang w:val="en-GB"/>
        </w:rPr>
        <w:t>women’s</w:t>
      </w:r>
      <w:r w:rsidRPr="4F6DD0A6">
        <w:rPr>
          <w:rFonts w:ascii="Corbel" w:hAnsi="Corbel" w:cstheme="minorBidi"/>
          <w:sz w:val="22"/>
          <w:szCs w:val="22"/>
          <w:lang w:val="en-GB"/>
        </w:rPr>
        <w:t xml:space="preserve"> livelihoods </w:t>
      </w:r>
      <w:r w:rsidRPr="4F6DD0A6">
        <w:rPr>
          <w:rFonts w:ascii="Corbel" w:hAnsi="Corbel" w:cs="Arial"/>
          <w:sz w:val="22"/>
          <w:szCs w:val="22"/>
          <w:lang w:val="en-GB"/>
        </w:rPr>
        <w:t>were completed and presented to Arab policy makers during a regional webinar</w:t>
      </w:r>
      <w:r w:rsidR="00C57551">
        <w:rPr>
          <w:rFonts w:ascii="Corbel" w:hAnsi="Corbel" w:cs="Arial"/>
          <w:sz w:val="22"/>
          <w:szCs w:val="22"/>
          <w:lang w:val="en-GB"/>
        </w:rPr>
        <w:t xml:space="preserve"> in </w:t>
      </w:r>
      <w:r w:rsidR="00462F9C">
        <w:rPr>
          <w:rFonts w:ascii="Corbel" w:hAnsi="Corbel" w:cs="Arial"/>
          <w:sz w:val="22"/>
          <w:szCs w:val="22"/>
          <w:lang w:val="en-GB"/>
        </w:rPr>
        <w:t xml:space="preserve">January </w:t>
      </w:r>
      <w:r w:rsidR="00C57551">
        <w:rPr>
          <w:rFonts w:ascii="Corbel" w:hAnsi="Corbel" w:cs="Arial"/>
          <w:sz w:val="22"/>
          <w:szCs w:val="22"/>
          <w:lang w:val="en-GB"/>
        </w:rPr>
        <w:t>2021</w:t>
      </w:r>
      <w:r w:rsidRPr="4F6DD0A6">
        <w:rPr>
          <w:rFonts w:ascii="Corbel" w:hAnsi="Corbel" w:cs="Arial"/>
          <w:sz w:val="22"/>
          <w:szCs w:val="22"/>
          <w:lang w:val="en-GB"/>
        </w:rPr>
        <w:t>. The report applied an empirical economic analysis of business transactions affecting women in the context of relevant commitments in trade and economic cooperation preferential trade agreements. The analysis highlighted the gender blindness of most trade policies in the region, excluding from trade benefits women, and especially low-skill women in the informal sector. Country-specific findings include:</w:t>
      </w:r>
      <w:bookmarkEnd w:id="198"/>
    </w:p>
    <w:p w14:paraId="0F6454ED" w14:textId="77777777" w:rsidR="00BD47C0" w:rsidRPr="00EF1F01" w:rsidRDefault="00BD47C0" w:rsidP="000168EC">
      <w:pPr>
        <w:pStyle w:val="ListParagraph"/>
        <w:numPr>
          <w:ilvl w:val="0"/>
          <w:numId w:val="3"/>
        </w:numPr>
        <w:spacing w:line="276" w:lineRule="auto"/>
        <w:contextualSpacing w:val="0"/>
        <w:jc w:val="both"/>
        <w:outlineLvl w:val="0"/>
        <w:rPr>
          <w:rFonts w:ascii="Corbel" w:hAnsi="Corbel" w:cs="Arial"/>
          <w:sz w:val="22"/>
          <w:szCs w:val="22"/>
          <w:lang w:val="en-GB"/>
        </w:rPr>
      </w:pPr>
      <w:bookmarkStart w:id="199" w:name="_Toc103506732"/>
      <w:r>
        <w:rPr>
          <w:rFonts w:ascii="Corbel" w:hAnsi="Corbel" w:cs="Arial"/>
          <w:sz w:val="22"/>
          <w:szCs w:val="22"/>
          <w:lang w:val="en-GB"/>
        </w:rPr>
        <w:t>In Morocco,</w:t>
      </w:r>
      <w:r w:rsidRPr="00EF1F01">
        <w:rPr>
          <w:rFonts w:ascii="Corbel" w:hAnsi="Corbel" w:cs="Arial"/>
          <w:sz w:val="22"/>
          <w:szCs w:val="22"/>
          <w:lang w:val="en-GB"/>
        </w:rPr>
        <w:t xml:space="preserve"> women play an important role in the </w:t>
      </w:r>
      <w:r>
        <w:rPr>
          <w:rFonts w:ascii="Corbel" w:hAnsi="Corbel" w:cs="Arial"/>
          <w:sz w:val="22"/>
          <w:szCs w:val="22"/>
          <w:lang w:val="en-GB"/>
        </w:rPr>
        <w:t>export-promising a</w:t>
      </w:r>
      <w:r w:rsidRPr="00EF1F01">
        <w:rPr>
          <w:rFonts w:ascii="Corbel" w:hAnsi="Corbel" w:cs="Arial"/>
          <w:sz w:val="22"/>
          <w:szCs w:val="22"/>
          <w:lang w:val="en-GB"/>
        </w:rPr>
        <w:t xml:space="preserve">rgan oil industry, often operating through cooperatives. </w:t>
      </w:r>
      <w:r>
        <w:rPr>
          <w:rFonts w:ascii="Corbel" w:hAnsi="Corbel" w:cs="Arial"/>
          <w:sz w:val="22"/>
          <w:szCs w:val="22"/>
          <w:lang w:val="en-GB"/>
        </w:rPr>
        <w:t>The study recommended</w:t>
      </w:r>
      <w:r w:rsidRPr="00EF1F01">
        <w:rPr>
          <w:rFonts w:ascii="Corbel" w:hAnsi="Corbel" w:cs="Arial"/>
          <w:sz w:val="22"/>
          <w:szCs w:val="22"/>
          <w:lang w:val="en-GB"/>
        </w:rPr>
        <w:t xml:space="preserve"> collaborat</w:t>
      </w:r>
      <w:r>
        <w:rPr>
          <w:rFonts w:ascii="Corbel" w:hAnsi="Corbel" w:cs="Arial"/>
          <w:sz w:val="22"/>
          <w:szCs w:val="22"/>
          <w:lang w:val="en-GB"/>
        </w:rPr>
        <w:t>ing</w:t>
      </w:r>
      <w:r w:rsidRPr="00EF1F01">
        <w:rPr>
          <w:rFonts w:ascii="Corbel" w:hAnsi="Corbel" w:cs="Arial"/>
          <w:sz w:val="22"/>
          <w:szCs w:val="22"/>
          <w:lang w:val="en-GB"/>
        </w:rPr>
        <w:t xml:space="preserve"> with </w:t>
      </w:r>
      <w:r>
        <w:rPr>
          <w:rFonts w:ascii="Corbel" w:hAnsi="Corbel" w:cs="Arial"/>
          <w:sz w:val="22"/>
          <w:szCs w:val="22"/>
          <w:lang w:val="en-GB"/>
        </w:rPr>
        <w:t xml:space="preserve">organisations such as </w:t>
      </w:r>
      <w:r w:rsidRPr="00EF1F01">
        <w:rPr>
          <w:rFonts w:ascii="Corbel" w:hAnsi="Corbel" w:cs="Arial"/>
          <w:sz w:val="22"/>
          <w:szCs w:val="22"/>
          <w:lang w:val="en-GB"/>
        </w:rPr>
        <w:t xml:space="preserve">the Network </w:t>
      </w:r>
      <w:r>
        <w:rPr>
          <w:rFonts w:ascii="Corbel" w:hAnsi="Corbel" w:cs="Arial"/>
          <w:sz w:val="22"/>
          <w:szCs w:val="22"/>
          <w:lang w:val="en-GB"/>
        </w:rPr>
        <w:t>of</w:t>
      </w:r>
      <w:r w:rsidRPr="00EF1F01">
        <w:rPr>
          <w:rFonts w:ascii="Corbel" w:hAnsi="Corbel" w:cs="Arial"/>
          <w:sz w:val="22"/>
          <w:szCs w:val="22"/>
          <w:lang w:val="en-GB"/>
        </w:rPr>
        <w:t xml:space="preserve"> Moroccan Businesswomen (Women Advancement Network) </w:t>
      </w:r>
      <w:r>
        <w:rPr>
          <w:rFonts w:ascii="Corbel" w:hAnsi="Corbel" w:cs="Arial"/>
          <w:sz w:val="22"/>
          <w:szCs w:val="22"/>
          <w:lang w:val="en-GB"/>
        </w:rPr>
        <w:t>to foster</w:t>
      </w:r>
      <w:r w:rsidRPr="00EF1F01">
        <w:rPr>
          <w:rFonts w:ascii="Corbel" w:hAnsi="Corbel" w:cs="Arial"/>
          <w:sz w:val="22"/>
          <w:szCs w:val="22"/>
          <w:lang w:val="en-GB"/>
        </w:rPr>
        <w:t xml:space="preserve"> access to the markets</w:t>
      </w:r>
      <w:r>
        <w:rPr>
          <w:rFonts w:ascii="Corbel" w:hAnsi="Corbel" w:cs="Arial"/>
          <w:sz w:val="22"/>
          <w:szCs w:val="22"/>
          <w:lang w:val="en-GB"/>
        </w:rPr>
        <w:t xml:space="preserve"> such as the Gulf Cooperation Council countries.</w:t>
      </w:r>
      <w:r w:rsidRPr="00EF1F01">
        <w:rPr>
          <w:rFonts w:ascii="Corbel" w:hAnsi="Corbel" w:cs="Arial"/>
          <w:sz w:val="22"/>
          <w:szCs w:val="22"/>
          <w:lang w:val="en-GB"/>
        </w:rPr>
        <w:t xml:space="preserve"> </w:t>
      </w:r>
      <w:r>
        <w:rPr>
          <w:rFonts w:ascii="Corbel" w:hAnsi="Corbel" w:cs="Arial"/>
          <w:sz w:val="22"/>
          <w:szCs w:val="22"/>
          <w:lang w:val="en-GB"/>
        </w:rPr>
        <w:t>The</w:t>
      </w:r>
      <w:r w:rsidRPr="00EF1F01">
        <w:rPr>
          <w:rFonts w:ascii="Corbel" w:hAnsi="Corbel" w:cs="Arial"/>
          <w:sz w:val="22"/>
          <w:szCs w:val="22"/>
          <w:lang w:val="en-GB"/>
        </w:rPr>
        <w:t xml:space="preserve"> American</w:t>
      </w:r>
      <w:r>
        <w:rPr>
          <w:rFonts w:ascii="Corbel" w:hAnsi="Corbel" w:cs="Arial"/>
          <w:sz w:val="22"/>
          <w:szCs w:val="22"/>
          <w:lang w:val="en-GB"/>
        </w:rPr>
        <w:t xml:space="preserve"> market was also identified as an opportunity, as the demand for Argan Oil is high and there is awareness on women economic empowerment with w</w:t>
      </w:r>
      <w:r w:rsidRPr="00EF1F01">
        <w:rPr>
          <w:rFonts w:ascii="Corbel" w:hAnsi="Corbel" w:cs="Arial"/>
          <w:sz w:val="22"/>
          <w:szCs w:val="22"/>
          <w:lang w:val="en-GB"/>
        </w:rPr>
        <w:t>omen</w:t>
      </w:r>
      <w:r>
        <w:rPr>
          <w:rFonts w:ascii="Corbel" w:hAnsi="Corbel" w:cs="Arial"/>
          <w:sz w:val="22"/>
          <w:szCs w:val="22"/>
          <w:lang w:val="en-GB"/>
        </w:rPr>
        <w:t xml:space="preserve">-owned businesses </w:t>
      </w:r>
      <w:r w:rsidRPr="00EF1F01">
        <w:rPr>
          <w:rFonts w:ascii="Corbel" w:hAnsi="Corbel" w:cs="Arial"/>
          <w:sz w:val="22"/>
          <w:szCs w:val="22"/>
          <w:lang w:val="en-GB"/>
        </w:rPr>
        <w:t>represent</w:t>
      </w:r>
      <w:r>
        <w:rPr>
          <w:rFonts w:ascii="Corbel" w:hAnsi="Corbel" w:cs="Arial"/>
          <w:sz w:val="22"/>
          <w:szCs w:val="22"/>
          <w:lang w:val="en-GB"/>
        </w:rPr>
        <w:t>ing</w:t>
      </w:r>
      <w:r w:rsidRPr="00EF1F01">
        <w:rPr>
          <w:rFonts w:ascii="Corbel" w:hAnsi="Corbel" w:cs="Arial"/>
          <w:sz w:val="22"/>
          <w:szCs w:val="22"/>
          <w:lang w:val="en-GB"/>
        </w:rPr>
        <w:t xml:space="preserve"> fifteen percent of the American Chamber of Commerce. </w:t>
      </w:r>
      <w:r>
        <w:rPr>
          <w:rFonts w:ascii="Corbel" w:hAnsi="Corbel" w:cs="Arial"/>
          <w:sz w:val="22"/>
          <w:szCs w:val="22"/>
          <w:lang w:val="en-GB"/>
        </w:rPr>
        <w:t>These findings informed the design of the pilot mentioned under output 3.</w:t>
      </w:r>
      <w:bookmarkEnd w:id="199"/>
    </w:p>
    <w:p w14:paraId="171AAEB0" w14:textId="7F4E77F9" w:rsidR="00BD47C0" w:rsidRPr="009D3235" w:rsidRDefault="00BD47C0" w:rsidP="000168EC">
      <w:pPr>
        <w:pStyle w:val="ListParagraph"/>
        <w:numPr>
          <w:ilvl w:val="0"/>
          <w:numId w:val="3"/>
        </w:numPr>
        <w:spacing w:line="276" w:lineRule="auto"/>
        <w:jc w:val="both"/>
        <w:outlineLvl w:val="0"/>
        <w:rPr>
          <w:rFonts w:ascii="Corbel" w:hAnsi="Corbel" w:cs="Arial"/>
          <w:sz w:val="21"/>
          <w:szCs w:val="21"/>
          <w:lang w:val="en-GB"/>
        </w:rPr>
      </w:pPr>
      <w:bookmarkStart w:id="200" w:name="_Toc103506733"/>
      <w:r w:rsidRPr="4F6DD0A6">
        <w:rPr>
          <w:rFonts w:ascii="Corbel" w:hAnsi="Corbel" w:cstheme="minorBidi"/>
          <w:sz w:val="22"/>
          <w:szCs w:val="22"/>
          <w:lang w:val="en-US"/>
        </w:rPr>
        <w:t>In</w:t>
      </w:r>
      <w:r w:rsidRPr="4F6DD0A6">
        <w:rPr>
          <w:rFonts w:ascii="Corbel" w:hAnsi="Corbel" w:cstheme="minorBidi"/>
          <w:sz w:val="22"/>
          <w:szCs w:val="22"/>
        </w:rPr>
        <w:t xml:space="preserve"> Egypt </w:t>
      </w:r>
      <w:r w:rsidRPr="4F6DD0A6">
        <w:rPr>
          <w:rFonts w:ascii="Corbel" w:hAnsi="Corbel" w:cstheme="minorBidi"/>
          <w:sz w:val="22"/>
          <w:szCs w:val="22"/>
          <w:lang w:val="en-US"/>
        </w:rPr>
        <w:t>it is</w:t>
      </w:r>
      <w:r w:rsidRPr="4F6DD0A6">
        <w:rPr>
          <w:rFonts w:ascii="Corbel" w:hAnsi="Corbel" w:cstheme="minorBidi"/>
          <w:sz w:val="22"/>
          <w:szCs w:val="22"/>
          <w:lang w:val="en-GB"/>
        </w:rPr>
        <w:t xml:space="preserve"> estimated that at least t</w:t>
      </w:r>
      <w:r w:rsidRPr="4F6DD0A6">
        <w:rPr>
          <w:rFonts w:ascii="Corbel" w:hAnsi="Corbel" w:cstheme="minorBidi"/>
          <w:sz w:val="22"/>
          <w:szCs w:val="22"/>
        </w:rPr>
        <w:t xml:space="preserve">wo million women </w:t>
      </w:r>
      <w:r w:rsidRPr="4F6DD0A6">
        <w:rPr>
          <w:rFonts w:ascii="Corbel" w:hAnsi="Corbel" w:cstheme="minorBidi"/>
          <w:sz w:val="22"/>
          <w:szCs w:val="22"/>
          <w:lang w:val="en-GB"/>
        </w:rPr>
        <w:t xml:space="preserve">work in </w:t>
      </w:r>
      <w:r w:rsidRPr="4F6DD0A6">
        <w:rPr>
          <w:rFonts w:ascii="Corbel" w:hAnsi="Corbel" w:cstheme="minorBidi"/>
          <w:sz w:val="22"/>
          <w:szCs w:val="22"/>
        </w:rPr>
        <w:t>the</w:t>
      </w:r>
      <w:r w:rsidRPr="4F6DD0A6">
        <w:rPr>
          <w:rFonts w:ascii="Corbel" w:hAnsi="Corbel" w:cstheme="minorBidi"/>
          <w:sz w:val="22"/>
          <w:szCs w:val="22"/>
          <w:lang w:val="en-US"/>
        </w:rPr>
        <w:t xml:space="preserve"> </w:t>
      </w:r>
      <w:r w:rsidRPr="4F6DD0A6">
        <w:rPr>
          <w:rFonts w:ascii="Corbel" w:hAnsi="Corbel" w:cstheme="minorBidi"/>
          <w:sz w:val="22"/>
          <w:szCs w:val="22"/>
        </w:rPr>
        <w:t>handicrafts sector</w:t>
      </w:r>
      <w:r w:rsidRPr="4F6DD0A6">
        <w:rPr>
          <w:rFonts w:ascii="Corbel" w:hAnsi="Corbel" w:cstheme="minorBidi"/>
          <w:sz w:val="22"/>
          <w:szCs w:val="22"/>
          <w:lang w:val="en-US"/>
        </w:rPr>
        <w:t>, where entry is perceived easier due to low</w:t>
      </w:r>
      <w:r w:rsidRPr="4F6DD0A6">
        <w:rPr>
          <w:rFonts w:ascii="Corbel" w:hAnsi="Corbel" w:cstheme="minorBidi"/>
          <w:sz w:val="22"/>
          <w:szCs w:val="22"/>
          <w:lang w:val="en-GB"/>
        </w:rPr>
        <w:t xml:space="preserve"> start-up investment requirements. The </w:t>
      </w:r>
      <w:r w:rsidR="000A3493" w:rsidRPr="4F6DD0A6">
        <w:rPr>
          <w:rFonts w:ascii="Corbel" w:hAnsi="Corbel" w:cstheme="minorBidi"/>
          <w:sz w:val="22"/>
          <w:szCs w:val="22"/>
          <w:lang w:val="en-GB"/>
        </w:rPr>
        <w:t>growth</w:t>
      </w:r>
      <w:r w:rsidRPr="4F6DD0A6">
        <w:rPr>
          <w:rFonts w:ascii="Corbel" w:hAnsi="Corbel" w:cstheme="minorBidi"/>
          <w:sz w:val="22"/>
          <w:szCs w:val="22"/>
          <w:lang w:val="en-GB"/>
        </w:rPr>
        <w:t xml:space="preserve"> of businesses run by women in this sector </w:t>
      </w:r>
      <w:r w:rsidR="00025AA2">
        <w:rPr>
          <w:rFonts w:ascii="Corbel" w:hAnsi="Corbel" w:cstheme="minorBidi"/>
          <w:sz w:val="22"/>
          <w:szCs w:val="22"/>
          <w:lang w:val="en-GB"/>
        </w:rPr>
        <w:t>is</w:t>
      </w:r>
      <w:r w:rsidRPr="4F6DD0A6">
        <w:rPr>
          <w:rFonts w:ascii="Corbel" w:hAnsi="Corbel" w:cstheme="minorBidi"/>
          <w:sz w:val="22"/>
          <w:szCs w:val="22"/>
          <w:lang w:val="en-GB"/>
        </w:rPr>
        <w:t xml:space="preserve"> nevertheless facing considerable growth challenges due to limited access to upskilling technical training, new markets, and finance (as many women cannot provide the necessary collateral).</w:t>
      </w:r>
      <w:bookmarkEnd w:id="200"/>
      <w:r w:rsidRPr="4F6DD0A6">
        <w:rPr>
          <w:rFonts w:ascii="Corbel" w:hAnsi="Corbel" w:cstheme="minorBidi"/>
          <w:sz w:val="22"/>
          <w:szCs w:val="22"/>
          <w:lang w:val="en-GB"/>
        </w:rPr>
        <w:t xml:space="preserve"> </w:t>
      </w:r>
    </w:p>
    <w:p w14:paraId="75AC5E51" w14:textId="2155B11D" w:rsidR="00BD47C0" w:rsidRPr="005F07CE" w:rsidRDefault="00BD47C0" w:rsidP="000168EC">
      <w:pPr>
        <w:pStyle w:val="ListParagraph"/>
        <w:numPr>
          <w:ilvl w:val="0"/>
          <w:numId w:val="3"/>
        </w:numPr>
        <w:spacing w:line="276" w:lineRule="auto"/>
        <w:contextualSpacing w:val="0"/>
        <w:jc w:val="both"/>
        <w:outlineLvl w:val="0"/>
        <w:rPr>
          <w:rFonts w:ascii="Corbel" w:hAnsi="Corbel" w:cs="Arial"/>
          <w:sz w:val="21"/>
          <w:szCs w:val="21"/>
          <w:lang w:val="en-GB"/>
        </w:rPr>
      </w:pPr>
      <w:bookmarkStart w:id="201" w:name="_Toc103506734"/>
      <w:bookmarkStart w:id="202" w:name="_Hlk91863196"/>
      <w:r>
        <w:rPr>
          <w:rFonts w:ascii="Corbel" w:hAnsi="Corbel" w:cstheme="minorHAnsi"/>
          <w:sz w:val="22"/>
          <w:szCs w:val="22"/>
          <w:lang w:val="en-GB"/>
        </w:rPr>
        <w:t xml:space="preserve">The study provided recommendations for including gender-specific provisions </w:t>
      </w:r>
      <w:r w:rsidR="00025AA2">
        <w:rPr>
          <w:rFonts w:ascii="Corbel" w:hAnsi="Corbel" w:cstheme="minorHAnsi"/>
          <w:sz w:val="22"/>
          <w:szCs w:val="22"/>
          <w:lang w:val="en-GB"/>
        </w:rPr>
        <w:t>in</w:t>
      </w:r>
      <w:r>
        <w:rPr>
          <w:rFonts w:ascii="Corbel" w:hAnsi="Corbel" w:cstheme="minorHAnsi"/>
          <w:sz w:val="22"/>
          <w:szCs w:val="22"/>
          <w:lang w:val="en-GB"/>
        </w:rPr>
        <w:t xml:space="preserve"> regional preferential trade agreements.</w:t>
      </w:r>
      <w:bookmarkEnd w:id="201"/>
      <w:r>
        <w:rPr>
          <w:rFonts w:ascii="Corbel" w:hAnsi="Corbel" w:cstheme="minorHAnsi"/>
          <w:sz w:val="22"/>
          <w:szCs w:val="22"/>
          <w:lang w:val="en-GB"/>
        </w:rPr>
        <w:t xml:space="preserve"> </w:t>
      </w:r>
    </w:p>
    <w:bookmarkEnd w:id="202"/>
    <w:p w14:paraId="5BC64110" w14:textId="5D04DC4B" w:rsidR="00F13AA0" w:rsidRPr="00EF1F01" w:rsidRDefault="00F13AA0" w:rsidP="00F13AA0">
      <w:pPr>
        <w:outlineLvl w:val="0"/>
        <w:rPr>
          <w:rFonts w:ascii="Corbel" w:hAnsi="Corbel" w:cs="Arial"/>
          <w:b/>
          <w:sz w:val="22"/>
          <w:szCs w:val="22"/>
          <w:lang w:val="en-GB"/>
        </w:rPr>
      </w:pPr>
    </w:p>
    <w:tbl>
      <w:tblPr>
        <w:tblW w:w="10243" w:type="dxa"/>
        <w:jc w:val="center"/>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Look w:val="04A0" w:firstRow="1" w:lastRow="0" w:firstColumn="1" w:lastColumn="0" w:noHBand="0" w:noVBand="1"/>
      </w:tblPr>
      <w:tblGrid>
        <w:gridCol w:w="2997"/>
        <w:gridCol w:w="3514"/>
        <w:gridCol w:w="3717"/>
        <w:gridCol w:w="15"/>
      </w:tblGrid>
      <w:tr w:rsidR="00F13AA0" w:rsidRPr="00EF1F01" w14:paraId="222CD197" w14:textId="77777777" w:rsidTr="00090F08">
        <w:trPr>
          <w:trHeight w:val="412"/>
          <w:jc w:val="center"/>
        </w:trPr>
        <w:tc>
          <w:tcPr>
            <w:tcW w:w="10243" w:type="dxa"/>
            <w:gridSpan w:val="4"/>
            <w:shd w:val="clear" w:color="auto" w:fill="0070C0"/>
          </w:tcPr>
          <w:p w14:paraId="476C5605" w14:textId="6B703F42" w:rsidR="00F13AA0" w:rsidRPr="00EF1F01" w:rsidRDefault="00F13AA0" w:rsidP="00F13AA0">
            <w:pPr>
              <w:rPr>
                <w:rFonts w:ascii="Corbel" w:hAnsi="Corbel" w:cs="Arial"/>
                <w:b/>
                <w:bCs/>
                <w:color w:val="FFFFFF"/>
                <w:sz w:val="21"/>
                <w:szCs w:val="21"/>
                <w:lang w:val="en-GB" w:eastAsia="en-US"/>
              </w:rPr>
            </w:pPr>
            <w:r w:rsidRPr="00EF1F01">
              <w:rPr>
                <w:rFonts w:ascii="Corbel" w:hAnsi="Corbel" w:cs="Arial"/>
                <w:b/>
                <w:bCs/>
                <w:color w:val="FFFFFF"/>
                <w:sz w:val="21"/>
                <w:szCs w:val="21"/>
                <w:lang w:val="en-GB" w:eastAsia="en-US"/>
              </w:rPr>
              <w:t xml:space="preserve">Project Output </w:t>
            </w:r>
            <w:r w:rsidR="00B2212E" w:rsidRPr="00EF1F01">
              <w:rPr>
                <w:rFonts w:ascii="Corbel" w:hAnsi="Corbel" w:cs="Arial"/>
                <w:b/>
                <w:bCs/>
                <w:color w:val="FFFFFF"/>
                <w:sz w:val="21"/>
                <w:szCs w:val="21"/>
                <w:lang w:val="en-GB" w:eastAsia="en-US"/>
              </w:rPr>
              <w:t>6</w:t>
            </w:r>
            <w:r w:rsidRPr="00EF1F01">
              <w:rPr>
                <w:rFonts w:ascii="Corbel" w:hAnsi="Corbel" w:cs="Arial"/>
                <w:b/>
                <w:bCs/>
                <w:color w:val="FFFFFF"/>
                <w:sz w:val="21"/>
                <w:szCs w:val="21"/>
                <w:lang w:val="en-GB" w:eastAsia="en-US"/>
              </w:rPr>
              <w:t xml:space="preserve">: Supporting gender responsive mechanisms to ensure systematic integration of gender sensitivities in trade </w:t>
            </w:r>
            <w:r w:rsidR="000A3493" w:rsidRPr="00EF1F01">
              <w:rPr>
                <w:rFonts w:ascii="Corbel" w:hAnsi="Corbel" w:cs="Arial"/>
                <w:b/>
                <w:bCs/>
                <w:color w:val="FFFFFF"/>
                <w:sz w:val="21"/>
                <w:szCs w:val="21"/>
                <w:lang w:val="en-GB" w:eastAsia="en-US"/>
              </w:rPr>
              <w:t>policymaking</w:t>
            </w:r>
            <w:r w:rsidRPr="00EF1F01">
              <w:rPr>
                <w:rFonts w:ascii="Corbel" w:hAnsi="Corbel" w:cs="Arial"/>
                <w:b/>
                <w:bCs/>
                <w:color w:val="FFFFFF"/>
                <w:sz w:val="21"/>
                <w:szCs w:val="21"/>
                <w:lang w:val="en-GB" w:eastAsia="en-US"/>
              </w:rPr>
              <w:t xml:space="preserve"> and negotiations</w:t>
            </w:r>
          </w:p>
        </w:tc>
      </w:tr>
      <w:tr w:rsidR="00F13AA0" w:rsidRPr="00EF1F01" w14:paraId="4313D01D" w14:textId="77777777" w:rsidTr="00090F08">
        <w:trPr>
          <w:gridAfter w:val="1"/>
          <w:wAfter w:w="15" w:type="dxa"/>
          <w:trHeight w:val="412"/>
          <w:jc w:val="center"/>
        </w:trPr>
        <w:tc>
          <w:tcPr>
            <w:tcW w:w="2997" w:type="dxa"/>
            <w:shd w:val="clear" w:color="auto" w:fill="auto"/>
          </w:tcPr>
          <w:p w14:paraId="105166A4" w14:textId="40212AB0" w:rsidR="00F13AA0" w:rsidRPr="00EF1F01" w:rsidRDefault="00F13AA0" w:rsidP="00F13AA0">
            <w:pPr>
              <w:outlineLvl w:val="0"/>
              <w:rPr>
                <w:rFonts w:ascii="Corbel" w:hAnsi="Corbel" w:cs="Arial"/>
                <w:b/>
                <w:sz w:val="21"/>
                <w:szCs w:val="21"/>
                <w:lang w:val="en-GB"/>
              </w:rPr>
            </w:pPr>
            <w:bookmarkStart w:id="203" w:name="_Toc103506735"/>
            <w:r w:rsidRPr="00EF1F01">
              <w:rPr>
                <w:rFonts w:ascii="Corbel" w:hAnsi="Corbel" w:cs="Arial"/>
                <w:b/>
                <w:sz w:val="21"/>
                <w:szCs w:val="21"/>
                <w:lang w:val="en-GB"/>
              </w:rPr>
              <w:t>Output indicators</w:t>
            </w:r>
            <w:bookmarkEnd w:id="203"/>
          </w:p>
        </w:tc>
        <w:tc>
          <w:tcPr>
            <w:tcW w:w="3514" w:type="dxa"/>
            <w:shd w:val="clear" w:color="auto" w:fill="auto"/>
          </w:tcPr>
          <w:p w14:paraId="1DDB5176" w14:textId="36AABED0" w:rsidR="00F13AA0" w:rsidRPr="00EF1F01" w:rsidRDefault="0083515B" w:rsidP="00F13AA0">
            <w:pPr>
              <w:outlineLvl w:val="0"/>
              <w:rPr>
                <w:rFonts w:ascii="Corbel" w:hAnsi="Corbel" w:cs="Arial"/>
                <w:b/>
                <w:sz w:val="21"/>
                <w:szCs w:val="21"/>
                <w:lang w:val="en-GB"/>
              </w:rPr>
            </w:pPr>
            <w:bookmarkStart w:id="204" w:name="_Toc103506736"/>
            <w:r w:rsidRPr="00EF1F01">
              <w:rPr>
                <w:rFonts w:ascii="Corbel" w:hAnsi="Corbel" w:cs="Arial"/>
                <w:b/>
                <w:sz w:val="21"/>
                <w:szCs w:val="21"/>
                <w:lang w:val="en-GB"/>
              </w:rPr>
              <w:t xml:space="preserve">Baselines &amp; </w:t>
            </w:r>
            <w:r w:rsidR="00F13AA0" w:rsidRPr="00EF1F01">
              <w:rPr>
                <w:rFonts w:ascii="Corbel" w:hAnsi="Corbel" w:cs="Arial"/>
                <w:b/>
                <w:sz w:val="21"/>
                <w:szCs w:val="21"/>
                <w:lang w:val="en-GB"/>
              </w:rPr>
              <w:t>Targets</w:t>
            </w:r>
            <w:bookmarkEnd w:id="204"/>
            <w:r w:rsidR="00F13AA0" w:rsidRPr="00EF1F01">
              <w:rPr>
                <w:rFonts w:ascii="Corbel" w:hAnsi="Corbel" w:cs="Arial"/>
                <w:b/>
                <w:sz w:val="21"/>
                <w:szCs w:val="21"/>
                <w:lang w:val="en-GB"/>
              </w:rPr>
              <w:t xml:space="preserve"> </w:t>
            </w:r>
          </w:p>
        </w:tc>
        <w:tc>
          <w:tcPr>
            <w:tcW w:w="3717" w:type="dxa"/>
            <w:shd w:val="clear" w:color="auto" w:fill="auto"/>
          </w:tcPr>
          <w:p w14:paraId="01D0D1F8" w14:textId="77777777" w:rsidR="00F13AA0" w:rsidRPr="00EF1F01" w:rsidRDefault="00F13AA0" w:rsidP="00F13AA0">
            <w:pPr>
              <w:outlineLvl w:val="0"/>
              <w:rPr>
                <w:rFonts w:ascii="Corbel" w:hAnsi="Corbel" w:cs="Arial"/>
                <w:b/>
                <w:sz w:val="21"/>
                <w:szCs w:val="21"/>
                <w:lang w:val="en-GB"/>
              </w:rPr>
            </w:pPr>
            <w:bookmarkStart w:id="205" w:name="_Toc103506737"/>
            <w:r w:rsidRPr="00EF1F01">
              <w:rPr>
                <w:rFonts w:ascii="Corbel" w:hAnsi="Corbel" w:cs="Arial"/>
                <w:b/>
                <w:sz w:val="21"/>
                <w:szCs w:val="21"/>
                <w:lang w:val="en-GB"/>
              </w:rPr>
              <w:t>Progress against targets</w:t>
            </w:r>
            <w:bookmarkEnd w:id="205"/>
          </w:p>
        </w:tc>
      </w:tr>
      <w:tr w:rsidR="00F13AA0" w:rsidRPr="00EF1F01" w14:paraId="34E3F7E7" w14:textId="77777777" w:rsidTr="00090F08">
        <w:trPr>
          <w:gridAfter w:val="1"/>
          <w:wAfter w:w="15" w:type="dxa"/>
          <w:trHeight w:val="412"/>
          <w:jc w:val="center"/>
        </w:trPr>
        <w:tc>
          <w:tcPr>
            <w:tcW w:w="2997" w:type="dxa"/>
            <w:shd w:val="clear" w:color="auto" w:fill="auto"/>
          </w:tcPr>
          <w:p w14:paraId="77ADEB08" w14:textId="77777777" w:rsidR="00D5686D" w:rsidRPr="00EF1F01" w:rsidRDefault="00811D8D" w:rsidP="00811D8D">
            <w:pPr>
              <w:jc w:val="both"/>
              <w:rPr>
                <w:rFonts w:ascii="Corbel" w:hAnsi="Corbel" w:cstheme="minorHAnsi"/>
                <w:sz w:val="20"/>
                <w:szCs w:val="20"/>
                <w:u w:val="single"/>
                <w:lang w:val="en-GB"/>
              </w:rPr>
            </w:pPr>
            <w:r w:rsidRPr="00EF1F01">
              <w:rPr>
                <w:rFonts w:ascii="Corbel" w:hAnsi="Corbel" w:cstheme="minorHAnsi"/>
                <w:sz w:val="20"/>
                <w:szCs w:val="20"/>
                <w:u w:val="single"/>
                <w:lang w:val="en-GB"/>
              </w:rPr>
              <w:t xml:space="preserve">Indicator 6.1: </w:t>
            </w:r>
          </w:p>
          <w:p w14:paraId="587C4087" w14:textId="181CF980" w:rsidR="00D5686D" w:rsidRPr="003065F6" w:rsidRDefault="00B356C3" w:rsidP="00811D8D">
            <w:pPr>
              <w:jc w:val="both"/>
              <w:rPr>
                <w:rFonts w:ascii="Corbel" w:hAnsi="Corbel" w:cstheme="minorHAnsi"/>
                <w:sz w:val="20"/>
                <w:szCs w:val="20"/>
              </w:rPr>
            </w:pPr>
            <w:r>
              <w:rPr>
                <w:rFonts w:ascii="Corbel" w:hAnsi="Corbel" w:cstheme="minorHAnsi"/>
                <w:sz w:val="20"/>
                <w:szCs w:val="20"/>
                <w:lang w:val="en-GB"/>
              </w:rPr>
              <w:t>Level of i</w:t>
            </w:r>
            <w:r w:rsidR="00D5686D" w:rsidRPr="00EF1F01">
              <w:rPr>
                <w:rFonts w:ascii="Corbel" w:hAnsi="Corbel" w:cstheme="minorHAnsi"/>
                <w:sz w:val="20"/>
                <w:szCs w:val="20"/>
                <w:lang w:val="en-GB"/>
              </w:rPr>
              <w:t xml:space="preserve">ncrease </w:t>
            </w:r>
            <w:r w:rsidR="003065F6">
              <w:rPr>
                <w:rFonts w:ascii="Corbel" w:hAnsi="Corbel" w:cstheme="minorHAnsi"/>
                <w:sz w:val="20"/>
                <w:szCs w:val="20"/>
                <w:lang w:val="en-GB"/>
              </w:rPr>
              <w:t xml:space="preserve">in </w:t>
            </w:r>
            <w:r w:rsidR="00B24409">
              <w:rPr>
                <w:rFonts w:asciiTheme="minorHAnsi" w:hAnsiTheme="minorHAnsi" w:cstheme="minorHAnsi"/>
                <w:sz w:val="20"/>
                <w:szCs w:val="20"/>
              </w:rPr>
              <w:t>the</w:t>
            </w:r>
            <w:r w:rsidR="00B24409" w:rsidRPr="00E85FA2">
              <w:rPr>
                <w:rFonts w:asciiTheme="minorHAnsi" w:hAnsiTheme="minorHAnsi" w:cstheme="minorHAnsi"/>
                <w:sz w:val="20"/>
                <w:szCs w:val="20"/>
              </w:rPr>
              <w:t xml:space="preserve"> usage and circulation of </w:t>
            </w:r>
            <w:r w:rsidR="00B24409">
              <w:rPr>
                <w:rFonts w:asciiTheme="minorHAnsi" w:hAnsiTheme="minorHAnsi" w:cstheme="minorHAnsi"/>
                <w:sz w:val="20"/>
                <w:szCs w:val="20"/>
              </w:rPr>
              <w:t>gender-sensitive</w:t>
            </w:r>
            <w:r w:rsidR="00B24409" w:rsidRPr="00E85FA2">
              <w:rPr>
                <w:rFonts w:asciiTheme="minorHAnsi" w:hAnsiTheme="minorHAnsi" w:cstheme="minorHAnsi"/>
                <w:sz w:val="20"/>
                <w:szCs w:val="20"/>
              </w:rPr>
              <w:t xml:space="preserve"> stud</w:t>
            </w:r>
            <w:r w:rsidR="00B24409">
              <w:rPr>
                <w:rFonts w:asciiTheme="minorHAnsi" w:hAnsiTheme="minorHAnsi" w:cstheme="minorHAnsi"/>
                <w:sz w:val="20"/>
                <w:szCs w:val="20"/>
              </w:rPr>
              <w:t>ies on trade policies</w:t>
            </w:r>
          </w:p>
          <w:p w14:paraId="6A23CB24" w14:textId="31175EFA" w:rsidR="00F13AA0" w:rsidRPr="00EF1F01" w:rsidRDefault="00F13AA0" w:rsidP="00C23A90">
            <w:pPr>
              <w:jc w:val="both"/>
              <w:rPr>
                <w:rFonts w:ascii="Corbel" w:hAnsi="Corbel" w:cstheme="minorHAnsi"/>
                <w:sz w:val="20"/>
                <w:szCs w:val="20"/>
                <w:lang w:val="en-GB"/>
              </w:rPr>
            </w:pPr>
          </w:p>
        </w:tc>
        <w:tc>
          <w:tcPr>
            <w:tcW w:w="3514" w:type="dxa"/>
            <w:shd w:val="clear" w:color="auto" w:fill="auto"/>
          </w:tcPr>
          <w:p w14:paraId="78F70289" w14:textId="40282767" w:rsidR="00051CE0" w:rsidRPr="00EF1F01" w:rsidRDefault="00051CE0" w:rsidP="00051CE0">
            <w:pPr>
              <w:jc w:val="both"/>
              <w:rPr>
                <w:rFonts w:ascii="Corbel" w:hAnsi="Corbel" w:cstheme="minorHAnsi"/>
                <w:sz w:val="20"/>
                <w:szCs w:val="20"/>
                <w:lang w:val="en-GB"/>
              </w:rPr>
            </w:pPr>
            <w:r w:rsidRPr="00EF1F01">
              <w:rPr>
                <w:rFonts w:ascii="Corbel" w:hAnsi="Corbel" w:cstheme="minorHAnsi"/>
                <w:sz w:val="20"/>
                <w:szCs w:val="20"/>
                <w:u w:val="single"/>
                <w:lang w:val="en-GB"/>
              </w:rPr>
              <w:t>Baseline 6.1:</w:t>
            </w:r>
            <w:r w:rsidRPr="00EF1F01">
              <w:rPr>
                <w:rFonts w:ascii="Corbel" w:hAnsi="Corbel" w:cstheme="minorHAnsi"/>
                <w:sz w:val="20"/>
                <w:szCs w:val="20"/>
                <w:lang w:val="en-GB"/>
              </w:rPr>
              <w:t xml:space="preserve"> Low</w:t>
            </w:r>
            <w:r w:rsidR="00D5686D" w:rsidRPr="00EF1F01">
              <w:rPr>
                <w:rFonts w:ascii="Corbel" w:hAnsi="Corbel" w:cstheme="minorHAnsi"/>
                <w:sz w:val="20"/>
                <w:szCs w:val="20"/>
                <w:lang w:val="en-GB"/>
              </w:rPr>
              <w:t xml:space="preserve"> level of awareness (</w:t>
            </w:r>
            <w:r w:rsidR="002D4975" w:rsidRPr="00EF1F01">
              <w:rPr>
                <w:rFonts w:ascii="Corbel" w:hAnsi="Corbel" w:cstheme="minorHAnsi"/>
                <w:sz w:val="20"/>
                <w:szCs w:val="20"/>
                <w:lang w:val="en-GB"/>
              </w:rPr>
              <w:t xml:space="preserve">Absence </w:t>
            </w:r>
            <w:r w:rsidR="00C9466E" w:rsidRPr="00EF1F01">
              <w:rPr>
                <w:rFonts w:ascii="Corbel" w:hAnsi="Corbel" w:cstheme="minorHAnsi"/>
                <w:sz w:val="20"/>
                <w:szCs w:val="20"/>
                <w:lang w:val="en-GB"/>
              </w:rPr>
              <w:t>of regional</w:t>
            </w:r>
            <w:r w:rsidR="002D4975" w:rsidRPr="00EF1F01">
              <w:rPr>
                <w:rFonts w:ascii="Corbel" w:hAnsi="Corbel" w:cstheme="minorHAnsi"/>
                <w:sz w:val="20"/>
                <w:szCs w:val="20"/>
                <w:lang w:val="en-GB"/>
              </w:rPr>
              <w:t xml:space="preserve"> </w:t>
            </w:r>
            <w:r w:rsidR="00D5686D" w:rsidRPr="00EF1F01">
              <w:rPr>
                <w:rFonts w:ascii="Corbel" w:hAnsi="Corbel" w:cstheme="minorHAnsi"/>
                <w:sz w:val="20"/>
                <w:szCs w:val="20"/>
                <w:lang w:val="en-GB"/>
              </w:rPr>
              <w:t xml:space="preserve">studies </w:t>
            </w:r>
            <w:r w:rsidR="00356CA8">
              <w:rPr>
                <w:rFonts w:ascii="Corbel" w:hAnsi="Corbel" w:cstheme="minorHAnsi"/>
                <w:sz w:val="20"/>
                <w:szCs w:val="20"/>
                <w:lang w:val="en-GB"/>
              </w:rPr>
              <w:t xml:space="preserve">and debates </w:t>
            </w:r>
            <w:r w:rsidR="004F294D">
              <w:rPr>
                <w:rFonts w:ascii="Corbel" w:hAnsi="Corbel" w:cstheme="minorHAnsi"/>
                <w:sz w:val="20"/>
                <w:szCs w:val="20"/>
                <w:lang w:val="en-GB"/>
              </w:rPr>
              <w:t>on</w:t>
            </w:r>
            <w:r w:rsidR="00D5686D" w:rsidRPr="00EF1F01">
              <w:rPr>
                <w:rFonts w:ascii="Corbel" w:hAnsi="Corbel" w:cstheme="minorHAnsi"/>
                <w:sz w:val="20"/>
                <w:szCs w:val="20"/>
                <w:lang w:val="en-GB"/>
              </w:rPr>
              <w:t xml:space="preserve"> gender sensitive trade policies) </w:t>
            </w:r>
          </w:p>
          <w:p w14:paraId="75BA8672" w14:textId="6DB2751A" w:rsidR="00FD50B8" w:rsidRPr="00EF1F01" w:rsidRDefault="00FD50B8" w:rsidP="00051CE0">
            <w:pPr>
              <w:jc w:val="both"/>
              <w:rPr>
                <w:rFonts w:ascii="Corbel" w:hAnsi="Corbel" w:cstheme="minorHAnsi"/>
                <w:sz w:val="20"/>
                <w:szCs w:val="20"/>
                <w:lang w:val="en-GB"/>
              </w:rPr>
            </w:pPr>
          </w:p>
          <w:p w14:paraId="4E2CABB5" w14:textId="3EE12300" w:rsidR="00051CE0" w:rsidRPr="00EF1F01" w:rsidRDefault="00FD50B8" w:rsidP="00782572">
            <w:pPr>
              <w:jc w:val="both"/>
              <w:rPr>
                <w:rFonts w:ascii="Corbel" w:hAnsi="Corbel" w:cs="Arial"/>
                <w:bCs/>
                <w:sz w:val="20"/>
                <w:szCs w:val="20"/>
                <w:lang w:val="en-GB"/>
              </w:rPr>
            </w:pPr>
            <w:r w:rsidRPr="00EF1F01">
              <w:rPr>
                <w:rFonts w:ascii="Corbel" w:hAnsi="Corbel" w:cstheme="minorHAnsi"/>
                <w:sz w:val="20"/>
                <w:szCs w:val="20"/>
                <w:u w:val="single"/>
                <w:lang w:val="en-GB"/>
              </w:rPr>
              <w:t>Target 6.1:</w:t>
            </w:r>
            <w:r w:rsidR="00E26D97" w:rsidRPr="00EF1F01">
              <w:rPr>
                <w:rFonts w:ascii="Corbel" w:hAnsi="Corbel" w:cstheme="minorHAnsi"/>
                <w:sz w:val="20"/>
                <w:szCs w:val="20"/>
                <w:u w:val="single"/>
                <w:lang w:val="en-GB"/>
              </w:rPr>
              <w:t xml:space="preserve"> </w:t>
            </w:r>
            <w:r w:rsidR="00E26D97" w:rsidRPr="00EF1F01">
              <w:rPr>
                <w:rFonts w:ascii="Corbel" w:hAnsi="Corbel" w:cstheme="minorHAnsi"/>
                <w:sz w:val="20"/>
                <w:szCs w:val="20"/>
              </w:rPr>
              <w:t>At least 2 policy papers on the impact of gender sensitive trade policies on wages and employment, especially</w:t>
            </w:r>
            <w:r w:rsidR="00377A6A">
              <w:rPr>
                <w:rFonts w:ascii="Corbel" w:hAnsi="Corbel" w:cstheme="minorHAnsi"/>
                <w:sz w:val="20"/>
                <w:szCs w:val="20"/>
              </w:rPr>
              <w:t xml:space="preserve"> in the</w:t>
            </w:r>
            <w:r w:rsidR="00E26D97" w:rsidRPr="00EF1F01">
              <w:rPr>
                <w:rFonts w:ascii="Corbel" w:hAnsi="Corbel" w:cstheme="minorHAnsi"/>
                <w:sz w:val="20"/>
                <w:szCs w:val="20"/>
              </w:rPr>
              <w:t xml:space="preserve"> informal sector </w:t>
            </w:r>
            <w:r w:rsidR="00E26D97" w:rsidRPr="00EF1F01">
              <w:rPr>
                <w:rFonts w:asciiTheme="minorHAnsi" w:hAnsiTheme="minorHAnsi" w:cstheme="minorHAnsi"/>
                <w:sz w:val="20"/>
                <w:szCs w:val="20"/>
              </w:rPr>
              <w:t xml:space="preserve"> </w:t>
            </w:r>
          </w:p>
        </w:tc>
        <w:tc>
          <w:tcPr>
            <w:tcW w:w="3717" w:type="dxa"/>
            <w:shd w:val="clear" w:color="auto" w:fill="auto"/>
          </w:tcPr>
          <w:p w14:paraId="15ECB4E2" w14:textId="13156B7C" w:rsidR="00B24409" w:rsidRPr="003222E1" w:rsidRDefault="00305B7A" w:rsidP="00090F08">
            <w:pPr>
              <w:jc w:val="both"/>
              <w:rPr>
                <w:rFonts w:ascii="Corbel" w:hAnsi="Corbel" w:cstheme="minorHAnsi"/>
                <w:sz w:val="20"/>
                <w:szCs w:val="20"/>
                <w:lang w:val="en-GB"/>
              </w:rPr>
            </w:pPr>
            <w:r>
              <w:rPr>
                <w:rFonts w:ascii="Corbel" w:hAnsi="Corbel" w:cstheme="minorHAnsi"/>
                <w:sz w:val="20"/>
                <w:szCs w:val="20"/>
                <w:lang w:val="en-GB"/>
              </w:rPr>
              <w:t xml:space="preserve">2 </w:t>
            </w:r>
            <w:r w:rsidRPr="00EF1F01">
              <w:rPr>
                <w:rFonts w:ascii="Corbel" w:hAnsi="Corbel" w:cstheme="minorHAnsi"/>
                <w:sz w:val="20"/>
                <w:szCs w:val="20"/>
                <w:lang w:val="en-GB"/>
              </w:rPr>
              <w:t>case stud</w:t>
            </w:r>
            <w:r>
              <w:rPr>
                <w:rFonts w:ascii="Corbel" w:hAnsi="Corbel" w:cstheme="minorHAnsi"/>
                <w:sz w:val="20"/>
                <w:szCs w:val="20"/>
                <w:lang w:val="en-GB"/>
              </w:rPr>
              <w:t>ies</w:t>
            </w:r>
            <w:r w:rsidRPr="00EF1F01">
              <w:rPr>
                <w:rFonts w:ascii="Corbel" w:hAnsi="Corbel" w:cstheme="minorHAnsi"/>
                <w:sz w:val="20"/>
                <w:szCs w:val="20"/>
                <w:lang w:val="en-GB"/>
              </w:rPr>
              <w:t xml:space="preserve"> </w:t>
            </w:r>
            <w:r>
              <w:rPr>
                <w:rFonts w:ascii="Corbel" w:hAnsi="Corbel" w:cstheme="minorHAnsi"/>
                <w:sz w:val="20"/>
                <w:szCs w:val="20"/>
                <w:lang w:val="en-GB"/>
              </w:rPr>
              <w:t>on</w:t>
            </w:r>
            <w:r w:rsidRPr="00EF1F01">
              <w:rPr>
                <w:rFonts w:ascii="Corbel" w:hAnsi="Corbel" w:cstheme="minorHAnsi"/>
                <w:sz w:val="20"/>
                <w:szCs w:val="20"/>
                <w:lang w:val="en-GB"/>
              </w:rPr>
              <w:t xml:space="preserve"> </w:t>
            </w:r>
            <w:r w:rsidR="00090F08">
              <w:rPr>
                <w:rFonts w:ascii="Corbel" w:hAnsi="Corbel" w:cstheme="minorHAnsi"/>
                <w:sz w:val="20"/>
                <w:szCs w:val="20"/>
                <w:lang w:val="en-GB"/>
              </w:rPr>
              <w:t xml:space="preserve">the impact of trade policies on </w:t>
            </w:r>
            <w:r w:rsidRPr="00EF1F01">
              <w:rPr>
                <w:rFonts w:ascii="Corbel" w:hAnsi="Corbel" w:cstheme="minorHAnsi"/>
                <w:sz w:val="20"/>
                <w:szCs w:val="20"/>
                <w:lang w:val="en-GB"/>
              </w:rPr>
              <w:t xml:space="preserve">women entrepreneurs </w:t>
            </w:r>
            <w:r w:rsidR="00090F08">
              <w:rPr>
                <w:rFonts w:ascii="Corbel" w:hAnsi="Corbel" w:cstheme="minorHAnsi"/>
                <w:sz w:val="20"/>
                <w:szCs w:val="20"/>
                <w:lang w:val="en-GB"/>
              </w:rPr>
              <w:t>in</w:t>
            </w:r>
            <w:r w:rsidRPr="00EF1F01">
              <w:rPr>
                <w:rFonts w:ascii="Corbel" w:hAnsi="Corbel" w:cstheme="minorHAnsi"/>
                <w:sz w:val="20"/>
                <w:szCs w:val="20"/>
                <w:lang w:val="en-GB"/>
              </w:rPr>
              <w:t xml:space="preserve"> Morocco and Egypt</w:t>
            </w:r>
            <w:r>
              <w:rPr>
                <w:rFonts w:ascii="Corbel" w:hAnsi="Corbel" w:cstheme="minorHAnsi"/>
                <w:sz w:val="20"/>
                <w:szCs w:val="20"/>
                <w:lang w:val="en-GB"/>
              </w:rPr>
              <w:t xml:space="preserve"> </w:t>
            </w:r>
            <w:r w:rsidR="00090F08">
              <w:rPr>
                <w:rFonts w:ascii="Corbel" w:hAnsi="Corbel" w:cstheme="minorHAnsi"/>
                <w:sz w:val="20"/>
                <w:szCs w:val="20"/>
                <w:lang w:val="en-GB"/>
              </w:rPr>
              <w:t>were finalized and presented to Arab policy makers.</w:t>
            </w:r>
          </w:p>
        </w:tc>
      </w:tr>
    </w:tbl>
    <w:p w14:paraId="1A758706" w14:textId="29C9C22E" w:rsidR="00F13AA0" w:rsidRPr="00EF1F01" w:rsidRDefault="00F13AA0" w:rsidP="00D12064">
      <w:pPr>
        <w:outlineLvl w:val="0"/>
        <w:rPr>
          <w:rFonts w:ascii="Corbel" w:hAnsi="Corbel" w:cs="Arial"/>
          <w:b/>
          <w:sz w:val="22"/>
          <w:szCs w:val="22"/>
          <w:lang w:val="en-GB"/>
        </w:rPr>
      </w:pPr>
    </w:p>
    <w:p w14:paraId="2B801F7A" w14:textId="2A9A709E" w:rsidR="00D56EBC" w:rsidRDefault="00D56EBC" w:rsidP="0039563A">
      <w:pPr>
        <w:pStyle w:val="Heading2"/>
        <w:rPr>
          <w:lang w:val="en-GB"/>
        </w:rPr>
      </w:pPr>
      <w:bookmarkStart w:id="206" w:name="_Toc103506738"/>
      <w:r w:rsidRPr="0003093F">
        <w:rPr>
          <w:lang w:val="en-GB"/>
        </w:rPr>
        <w:t>Section 3: Monitoring and evaluation of activities</w:t>
      </w:r>
      <w:bookmarkEnd w:id="206"/>
    </w:p>
    <w:p w14:paraId="01DF1EF7" w14:textId="77777777" w:rsidR="00E201F0" w:rsidRPr="00E201F0" w:rsidRDefault="00E201F0" w:rsidP="00E201F0">
      <w:pPr>
        <w:rPr>
          <w:lang w:val="en-GB"/>
        </w:rPr>
      </w:pPr>
    </w:p>
    <w:p w14:paraId="35EB444A" w14:textId="1A72D800" w:rsidR="00454623" w:rsidRDefault="00881D90" w:rsidP="00E47EA3">
      <w:pPr>
        <w:spacing w:line="276" w:lineRule="auto"/>
        <w:jc w:val="both"/>
        <w:outlineLvl w:val="0"/>
        <w:rPr>
          <w:rFonts w:ascii="Corbel" w:eastAsiaTheme="minorHAnsi" w:hAnsi="Corbel" w:cs="Arial"/>
          <w:sz w:val="22"/>
          <w:szCs w:val="22"/>
          <w:lang w:val="en-GB"/>
        </w:rPr>
      </w:pPr>
      <w:bookmarkStart w:id="207" w:name="_Toc103506739"/>
      <w:r>
        <w:rPr>
          <w:rFonts w:ascii="Corbel" w:eastAsiaTheme="minorHAnsi" w:hAnsi="Corbel" w:cs="Arial"/>
          <w:sz w:val="22"/>
          <w:szCs w:val="22"/>
          <w:lang w:val="en-GB"/>
        </w:rPr>
        <w:t>T</w:t>
      </w:r>
      <w:r w:rsidR="00836855">
        <w:rPr>
          <w:rFonts w:ascii="Corbel" w:eastAsiaTheme="minorHAnsi" w:hAnsi="Corbel" w:cs="Arial"/>
          <w:sz w:val="22"/>
          <w:szCs w:val="22"/>
          <w:lang w:val="en-GB"/>
        </w:rPr>
        <w:t xml:space="preserve">he project team </w:t>
      </w:r>
      <w:r w:rsidR="00EB0736">
        <w:rPr>
          <w:rFonts w:ascii="Corbel" w:eastAsiaTheme="minorHAnsi" w:hAnsi="Corbel" w:cs="Arial"/>
          <w:sz w:val="22"/>
          <w:szCs w:val="22"/>
          <w:lang w:val="en-GB"/>
        </w:rPr>
        <w:t>oversaw</w:t>
      </w:r>
      <w:r>
        <w:rPr>
          <w:rFonts w:ascii="Corbel" w:eastAsiaTheme="minorHAnsi" w:hAnsi="Corbel" w:cs="Arial"/>
          <w:sz w:val="22"/>
          <w:szCs w:val="22"/>
          <w:lang w:val="en-GB"/>
        </w:rPr>
        <w:t xml:space="preserve"> the overall evaluation of timely and quality activity implementation, seeking feedbac</w:t>
      </w:r>
      <w:r w:rsidR="00EF209A">
        <w:rPr>
          <w:rFonts w:ascii="Corbel" w:eastAsiaTheme="minorHAnsi" w:hAnsi="Corbel" w:cs="Arial"/>
          <w:sz w:val="22"/>
          <w:szCs w:val="22"/>
          <w:lang w:val="en-GB"/>
        </w:rPr>
        <w:t>k</w:t>
      </w:r>
      <w:r>
        <w:rPr>
          <w:rFonts w:ascii="Corbel" w:eastAsiaTheme="minorHAnsi" w:hAnsi="Corbel" w:cs="Arial"/>
          <w:sz w:val="22"/>
          <w:szCs w:val="22"/>
          <w:lang w:val="en-GB"/>
        </w:rPr>
        <w:t xml:space="preserve"> from </w:t>
      </w:r>
      <w:r w:rsidR="00687C4B">
        <w:rPr>
          <w:rFonts w:ascii="Corbel" w:eastAsiaTheme="minorHAnsi" w:hAnsi="Corbel" w:cs="Arial"/>
          <w:sz w:val="22"/>
          <w:szCs w:val="22"/>
          <w:lang w:val="en-GB"/>
        </w:rPr>
        <w:t xml:space="preserve">key partners and stakeholders, including LAS representatives, national officers benefiting </w:t>
      </w:r>
      <w:r w:rsidR="000A3493">
        <w:rPr>
          <w:rFonts w:ascii="Corbel" w:eastAsiaTheme="minorHAnsi" w:hAnsi="Corbel" w:cs="Arial"/>
          <w:sz w:val="22"/>
          <w:szCs w:val="22"/>
          <w:lang w:val="en-GB"/>
        </w:rPr>
        <w:t>from</w:t>
      </w:r>
      <w:r w:rsidR="00687C4B">
        <w:rPr>
          <w:rFonts w:ascii="Corbel" w:eastAsiaTheme="minorHAnsi" w:hAnsi="Corbel" w:cs="Arial"/>
          <w:sz w:val="22"/>
          <w:szCs w:val="22"/>
          <w:lang w:val="en-GB"/>
        </w:rPr>
        <w:t xml:space="preserve"> project activities, and UNDP colleagues in country offices where </w:t>
      </w:r>
      <w:r w:rsidR="00EF209A">
        <w:rPr>
          <w:rFonts w:ascii="Corbel" w:eastAsiaTheme="minorHAnsi" w:hAnsi="Corbel" w:cs="Arial"/>
          <w:sz w:val="22"/>
          <w:szCs w:val="22"/>
          <w:lang w:val="en-GB"/>
        </w:rPr>
        <w:t>country-specific activities were delivered.</w:t>
      </w:r>
      <w:bookmarkEnd w:id="207"/>
      <w:r w:rsidR="00EF209A">
        <w:rPr>
          <w:rFonts w:ascii="Corbel" w:eastAsiaTheme="minorHAnsi" w:hAnsi="Corbel" w:cs="Arial"/>
          <w:sz w:val="22"/>
          <w:szCs w:val="22"/>
          <w:lang w:val="en-GB"/>
        </w:rPr>
        <w:t xml:space="preserve"> </w:t>
      </w:r>
    </w:p>
    <w:p w14:paraId="122E427E" w14:textId="77777777" w:rsidR="00454623" w:rsidRDefault="00454623" w:rsidP="00E47EA3">
      <w:pPr>
        <w:spacing w:line="276" w:lineRule="auto"/>
        <w:jc w:val="both"/>
        <w:outlineLvl w:val="0"/>
        <w:rPr>
          <w:rFonts w:ascii="Corbel" w:eastAsiaTheme="minorHAnsi" w:hAnsi="Corbel" w:cs="Arial"/>
          <w:sz w:val="22"/>
          <w:szCs w:val="22"/>
          <w:lang w:val="en-GB"/>
        </w:rPr>
      </w:pPr>
    </w:p>
    <w:p w14:paraId="448971D1" w14:textId="6F78793A" w:rsidR="00454623" w:rsidRDefault="00B4189E" w:rsidP="00E47EA3">
      <w:pPr>
        <w:spacing w:line="276" w:lineRule="auto"/>
        <w:jc w:val="both"/>
        <w:outlineLvl w:val="0"/>
        <w:rPr>
          <w:rFonts w:ascii="Corbel" w:eastAsiaTheme="minorHAnsi" w:hAnsi="Corbel" w:cs="Arial"/>
          <w:sz w:val="22"/>
          <w:szCs w:val="22"/>
          <w:lang w:val="en-GB"/>
        </w:rPr>
      </w:pPr>
      <w:bookmarkStart w:id="208" w:name="_Toc103506740"/>
      <w:r>
        <w:rPr>
          <w:rFonts w:ascii="Corbel" w:eastAsiaTheme="minorHAnsi" w:hAnsi="Corbel" w:cs="Arial"/>
          <w:sz w:val="22"/>
          <w:szCs w:val="22"/>
          <w:lang w:val="en-GB"/>
        </w:rPr>
        <w:t xml:space="preserve">Project reports were submitted to </w:t>
      </w:r>
      <w:proofErr w:type="spellStart"/>
      <w:r>
        <w:rPr>
          <w:rFonts w:ascii="Corbel" w:eastAsiaTheme="minorHAnsi" w:hAnsi="Corbel" w:cs="Arial"/>
          <w:sz w:val="22"/>
          <w:szCs w:val="22"/>
          <w:lang w:val="en-GB"/>
        </w:rPr>
        <w:t>Sida</w:t>
      </w:r>
      <w:proofErr w:type="spellEnd"/>
      <w:r>
        <w:rPr>
          <w:rFonts w:ascii="Corbel" w:eastAsiaTheme="minorHAnsi" w:hAnsi="Corbel" w:cs="Arial"/>
          <w:sz w:val="22"/>
          <w:szCs w:val="22"/>
          <w:lang w:val="en-GB"/>
        </w:rPr>
        <w:t xml:space="preserve"> on an annual basis or more frequently when required. </w:t>
      </w:r>
      <w:r w:rsidR="00993198">
        <w:rPr>
          <w:rFonts w:ascii="Corbel" w:eastAsiaTheme="minorHAnsi" w:hAnsi="Corbel" w:cs="Arial"/>
          <w:sz w:val="22"/>
          <w:szCs w:val="22"/>
          <w:lang w:val="en-GB"/>
        </w:rPr>
        <w:t>Given due consideration to project</w:t>
      </w:r>
      <w:r w:rsidR="00454623">
        <w:rPr>
          <w:rFonts w:ascii="Corbel" w:eastAsiaTheme="minorHAnsi" w:hAnsi="Corbel" w:cs="Arial"/>
          <w:sz w:val="22"/>
          <w:szCs w:val="22"/>
          <w:lang w:val="en-GB"/>
        </w:rPr>
        <w:t xml:space="preserve"> </w:t>
      </w:r>
      <w:r w:rsidR="00E313AA">
        <w:rPr>
          <w:rFonts w:ascii="Corbel" w:eastAsiaTheme="minorHAnsi" w:hAnsi="Corbel" w:cs="Arial"/>
          <w:sz w:val="22"/>
          <w:szCs w:val="22"/>
          <w:lang w:val="en-GB"/>
        </w:rPr>
        <w:t xml:space="preserve">design phase shortcomings in establishing a robust monitoring framework based on </w:t>
      </w:r>
      <w:r w:rsidR="00E313AA">
        <w:rPr>
          <w:rFonts w:ascii="Corbel" w:eastAsiaTheme="minorHAnsi" w:hAnsi="Corbel" w:cs="Arial"/>
          <w:sz w:val="22"/>
          <w:szCs w:val="22"/>
          <w:lang w:val="en-GB"/>
        </w:rPr>
        <w:lastRenderedPageBreak/>
        <w:t>solid baseline</w:t>
      </w:r>
      <w:r w:rsidR="00025AA2">
        <w:rPr>
          <w:rFonts w:ascii="Corbel" w:eastAsiaTheme="minorHAnsi" w:hAnsi="Corbel" w:cs="Arial"/>
          <w:sz w:val="22"/>
          <w:szCs w:val="22"/>
          <w:lang w:val="en-GB"/>
        </w:rPr>
        <w:t>s</w:t>
      </w:r>
      <w:r w:rsidR="00E313AA">
        <w:rPr>
          <w:rFonts w:ascii="Corbel" w:eastAsiaTheme="minorHAnsi" w:hAnsi="Corbel" w:cs="Arial"/>
          <w:sz w:val="22"/>
          <w:szCs w:val="22"/>
          <w:lang w:val="en-GB"/>
        </w:rPr>
        <w:t xml:space="preserve">, </w:t>
      </w:r>
      <w:proofErr w:type="spellStart"/>
      <w:r w:rsidR="001B1F3D">
        <w:rPr>
          <w:rFonts w:ascii="Corbel" w:eastAsiaTheme="minorHAnsi" w:hAnsi="Corbel" w:cs="Arial"/>
          <w:sz w:val="22"/>
          <w:szCs w:val="22"/>
          <w:lang w:val="en-GB"/>
        </w:rPr>
        <w:t>Sida</w:t>
      </w:r>
      <w:proofErr w:type="spellEnd"/>
      <w:r w:rsidR="001B1F3D">
        <w:rPr>
          <w:rFonts w:ascii="Corbel" w:eastAsiaTheme="minorHAnsi" w:hAnsi="Corbel" w:cs="Arial"/>
          <w:sz w:val="22"/>
          <w:szCs w:val="22"/>
          <w:lang w:val="en-GB"/>
        </w:rPr>
        <w:t xml:space="preserve"> agreed </w:t>
      </w:r>
      <w:r w:rsidR="003D496D">
        <w:rPr>
          <w:rFonts w:ascii="Corbel" w:eastAsiaTheme="minorHAnsi" w:hAnsi="Corbel" w:cs="Arial"/>
          <w:sz w:val="22"/>
          <w:szCs w:val="22"/>
          <w:lang w:val="en-GB"/>
        </w:rPr>
        <w:t>to a</w:t>
      </w:r>
      <w:r w:rsidR="00313060">
        <w:rPr>
          <w:rFonts w:ascii="Corbel" w:eastAsiaTheme="minorHAnsi" w:hAnsi="Corbel" w:cs="Arial"/>
          <w:sz w:val="22"/>
          <w:szCs w:val="22"/>
          <w:lang w:val="en-GB"/>
        </w:rPr>
        <w:t xml:space="preserve"> clearer and simplified </w:t>
      </w:r>
      <w:r w:rsidR="00993198">
        <w:rPr>
          <w:rFonts w:ascii="Corbel" w:eastAsiaTheme="minorHAnsi" w:hAnsi="Corbel" w:cs="Arial"/>
          <w:sz w:val="22"/>
          <w:szCs w:val="22"/>
          <w:lang w:val="en-GB"/>
        </w:rPr>
        <w:t xml:space="preserve">results framework during the project revision that accompanied the </w:t>
      </w:r>
      <w:r w:rsidR="008E6DA2">
        <w:rPr>
          <w:rFonts w:ascii="Corbel" w:eastAsiaTheme="minorHAnsi" w:hAnsi="Corbel" w:cs="Arial"/>
          <w:sz w:val="22"/>
          <w:szCs w:val="22"/>
          <w:lang w:val="en-GB"/>
        </w:rPr>
        <w:t>no-cost extension request in 2020.</w:t>
      </w:r>
      <w:r w:rsidR="001B1F3D">
        <w:rPr>
          <w:rFonts w:ascii="Corbel" w:eastAsiaTheme="minorHAnsi" w:hAnsi="Corbel" w:cs="Arial"/>
          <w:sz w:val="22"/>
          <w:szCs w:val="22"/>
          <w:lang w:val="en-GB"/>
        </w:rPr>
        <w:t xml:space="preserve"> This final report is based on this revised results framework.</w:t>
      </w:r>
      <w:bookmarkEnd w:id="208"/>
    </w:p>
    <w:p w14:paraId="111847C3" w14:textId="77777777" w:rsidR="001C7112" w:rsidRDefault="001C7112" w:rsidP="00E47EA3">
      <w:pPr>
        <w:spacing w:line="276" w:lineRule="auto"/>
        <w:jc w:val="both"/>
        <w:outlineLvl w:val="0"/>
        <w:rPr>
          <w:rFonts w:ascii="Corbel" w:eastAsiaTheme="minorHAnsi" w:hAnsi="Corbel" w:cs="Arial"/>
          <w:sz w:val="22"/>
          <w:szCs w:val="22"/>
          <w:lang w:val="en-GB"/>
        </w:rPr>
      </w:pPr>
    </w:p>
    <w:p w14:paraId="11FB2916" w14:textId="08DC1B77" w:rsidR="006E7C7D" w:rsidRPr="0003093F" w:rsidRDefault="00EF209A" w:rsidP="00E47EA3">
      <w:pPr>
        <w:spacing w:line="276" w:lineRule="auto"/>
        <w:jc w:val="both"/>
        <w:outlineLvl w:val="0"/>
        <w:rPr>
          <w:rFonts w:ascii="Corbel" w:eastAsiaTheme="minorHAnsi" w:hAnsi="Corbel" w:cs="Arial"/>
          <w:sz w:val="22"/>
          <w:szCs w:val="22"/>
          <w:lang w:val="en-GB"/>
        </w:rPr>
      </w:pPr>
      <w:bookmarkStart w:id="209" w:name="_Toc103506741"/>
      <w:r>
        <w:rPr>
          <w:rFonts w:ascii="Corbel" w:eastAsiaTheme="minorHAnsi" w:hAnsi="Corbel" w:cs="Arial"/>
          <w:sz w:val="22"/>
          <w:szCs w:val="22"/>
          <w:lang w:val="en-GB"/>
        </w:rPr>
        <w:t>A final project</w:t>
      </w:r>
      <w:r w:rsidR="00BF51F4" w:rsidRPr="0003093F">
        <w:rPr>
          <w:rFonts w:ascii="Corbel" w:eastAsiaTheme="minorHAnsi" w:hAnsi="Corbel" w:cs="Arial"/>
          <w:sz w:val="22"/>
          <w:szCs w:val="22"/>
          <w:lang w:val="en-GB"/>
        </w:rPr>
        <w:t xml:space="preserve"> evaluation took place </w:t>
      </w:r>
      <w:r w:rsidR="00314DF1">
        <w:rPr>
          <w:rFonts w:ascii="Corbel" w:eastAsiaTheme="minorHAnsi" w:hAnsi="Corbel" w:cs="Arial"/>
          <w:sz w:val="22"/>
          <w:szCs w:val="22"/>
          <w:lang w:val="en-GB"/>
        </w:rPr>
        <w:t>during</w:t>
      </w:r>
      <w:r w:rsidR="00BF51F4" w:rsidRPr="0003093F">
        <w:rPr>
          <w:rFonts w:ascii="Corbel" w:eastAsiaTheme="minorHAnsi" w:hAnsi="Corbel" w:cs="Arial"/>
          <w:sz w:val="22"/>
          <w:szCs w:val="22"/>
          <w:lang w:val="en-GB"/>
        </w:rPr>
        <w:t xml:space="preserve"> December 2021 </w:t>
      </w:r>
      <w:r w:rsidR="00314DF1">
        <w:rPr>
          <w:rFonts w:ascii="Corbel" w:eastAsiaTheme="minorHAnsi" w:hAnsi="Corbel" w:cs="Arial"/>
          <w:sz w:val="22"/>
          <w:szCs w:val="22"/>
          <w:lang w:val="en-GB"/>
        </w:rPr>
        <w:t>-</w:t>
      </w:r>
      <w:r w:rsidR="00BF51F4" w:rsidRPr="0003093F">
        <w:rPr>
          <w:rFonts w:ascii="Corbel" w:eastAsiaTheme="minorHAnsi" w:hAnsi="Corbel" w:cs="Arial"/>
          <w:sz w:val="22"/>
          <w:szCs w:val="22"/>
          <w:lang w:val="en-GB"/>
        </w:rPr>
        <w:t xml:space="preserve"> March 2022</w:t>
      </w:r>
      <w:r w:rsidR="001C1620">
        <w:rPr>
          <w:rFonts w:ascii="Corbel" w:eastAsiaTheme="minorHAnsi" w:hAnsi="Corbel" w:cs="Arial"/>
          <w:sz w:val="22"/>
          <w:szCs w:val="22"/>
          <w:lang w:val="en-GB"/>
        </w:rPr>
        <w:t xml:space="preserve">, whereby </w:t>
      </w:r>
      <w:r w:rsidR="00EB0736">
        <w:rPr>
          <w:rFonts w:ascii="Corbel" w:eastAsiaTheme="minorHAnsi" w:hAnsi="Corbel" w:cs="Arial"/>
          <w:sz w:val="22"/>
          <w:szCs w:val="22"/>
          <w:lang w:val="en-GB"/>
        </w:rPr>
        <w:t>terms of reference</w:t>
      </w:r>
      <w:r w:rsidR="001C1620">
        <w:rPr>
          <w:rFonts w:ascii="Corbel" w:eastAsiaTheme="minorHAnsi" w:hAnsi="Corbel" w:cs="Arial"/>
          <w:sz w:val="22"/>
          <w:szCs w:val="22"/>
          <w:lang w:val="en-GB"/>
        </w:rPr>
        <w:t xml:space="preserve"> and the selection of evaluators was done in cooperation with </w:t>
      </w:r>
      <w:proofErr w:type="spellStart"/>
      <w:r w:rsidR="001C1620">
        <w:rPr>
          <w:rFonts w:ascii="Corbel" w:eastAsiaTheme="minorHAnsi" w:hAnsi="Corbel" w:cs="Arial"/>
          <w:sz w:val="22"/>
          <w:szCs w:val="22"/>
          <w:lang w:val="en-GB"/>
        </w:rPr>
        <w:t>Sida</w:t>
      </w:r>
      <w:proofErr w:type="spellEnd"/>
      <w:r w:rsidR="001C1620">
        <w:rPr>
          <w:rFonts w:ascii="Corbel" w:eastAsiaTheme="minorHAnsi" w:hAnsi="Corbel" w:cs="Arial"/>
          <w:sz w:val="22"/>
          <w:szCs w:val="22"/>
          <w:lang w:val="en-GB"/>
        </w:rPr>
        <w:t xml:space="preserve">. </w:t>
      </w:r>
      <w:r w:rsidR="001D6EC6">
        <w:rPr>
          <w:rFonts w:ascii="Corbel" w:eastAsiaTheme="minorHAnsi" w:hAnsi="Corbel" w:cs="Arial"/>
          <w:sz w:val="22"/>
          <w:szCs w:val="22"/>
          <w:lang w:val="en-GB"/>
        </w:rPr>
        <w:t xml:space="preserve">The results of the evaluation have been used </w:t>
      </w:r>
      <w:r w:rsidR="003961C2">
        <w:rPr>
          <w:rFonts w:ascii="Corbel" w:eastAsiaTheme="minorHAnsi" w:hAnsi="Corbel" w:cs="Arial"/>
          <w:sz w:val="22"/>
          <w:szCs w:val="22"/>
          <w:lang w:val="en-GB"/>
        </w:rPr>
        <w:t xml:space="preserve">to substantiate results reporting in this document and have been summarized </w:t>
      </w:r>
      <w:r w:rsidR="009C7414">
        <w:rPr>
          <w:rFonts w:ascii="Corbel" w:eastAsiaTheme="minorHAnsi" w:hAnsi="Corbel" w:cs="Arial"/>
          <w:sz w:val="22"/>
          <w:szCs w:val="22"/>
          <w:lang w:val="en-GB"/>
        </w:rPr>
        <w:t>as</w:t>
      </w:r>
      <w:r w:rsidR="003961C2">
        <w:rPr>
          <w:rFonts w:ascii="Corbel" w:eastAsiaTheme="minorHAnsi" w:hAnsi="Corbel" w:cs="Arial"/>
          <w:sz w:val="22"/>
          <w:szCs w:val="22"/>
          <w:lang w:val="en-GB"/>
        </w:rPr>
        <w:t xml:space="preserve"> </w:t>
      </w:r>
      <w:r w:rsidR="009C7414">
        <w:rPr>
          <w:rFonts w:ascii="Corbel" w:eastAsiaTheme="minorHAnsi" w:hAnsi="Corbel" w:cs="Arial"/>
          <w:sz w:val="22"/>
          <w:szCs w:val="22"/>
          <w:lang w:val="en-GB"/>
        </w:rPr>
        <w:t>“</w:t>
      </w:r>
      <w:r w:rsidR="003961C2">
        <w:rPr>
          <w:rFonts w:ascii="Corbel" w:eastAsiaTheme="minorHAnsi" w:hAnsi="Corbel" w:cs="Arial"/>
          <w:sz w:val="22"/>
          <w:szCs w:val="22"/>
          <w:lang w:val="en-GB"/>
        </w:rPr>
        <w:t>lessons</w:t>
      </w:r>
      <w:r w:rsidR="001D48A8">
        <w:rPr>
          <w:rFonts w:ascii="Corbel" w:eastAsiaTheme="minorHAnsi" w:hAnsi="Corbel" w:cs="Arial"/>
          <w:sz w:val="22"/>
          <w:szCs w:val="22"/>
          <w:lang w:val="en-GB"/>
        </w:rPr>
        <w:t xml:space="preserve"> learned and recommendations</w:t>
      </w:r>
      <w:r w:rsidR="009C7414">
        <w:rPr>
          <w:rFonts w:ascii="Corbel" w:eastAsiaTheme="minorHAnsi" w:hAnsi="Corbel" w:cs="Arial"/>
          <w:sz w:val="22"/>
          <w:szCs w:val="22"/>
          <w:lang w:val="en-GB"/>
        </w:rPr>
        <w:t>”</w:t>
      </w:r>
      <w:bookmarkEnd w:id="209"/>
    </w:p>
    <w:p w14:paraId="64191D7E" w14:textId="1BC99282" w:rsidR="00CB7321" w:rsidRPr="0003093F" w:rsidRDefault="00CB7321" w:rsidP="00E47EA3">
      <w:pPr>
        <w:spacing w:line="276" w:lineRule="auto"/>
        <w:jc w:val="both"/>
        <w:outlineLvl w:val="0"/>
        <w:rPr>
          <w:rFonts w:ascii="Corbel" w:eastAsiaTheme="minorHAnsi" w:hAnsi="Corbel" w:cs="Arial"/>
          <w:sz w:val="22"/>
          <w:szCs w:val="22"/>
          <w:lang w:val="en-GB"/>
        </w:rPr>
      </w:pPr>
    </w:p>
    <w:p w14:paraId="52CFC2A7" w14:textId="5393445E" w:rsidR="00B72740" w:rsidRPr="00EF1F01" w:rsidRDefault="005C0D43" w:rsidP="001D6EC6">
      <w:pPr>
        <w:pStyle w:val="Heading2"/>
        <w:rPr>
          <w:lang w:val="en-GB"/>
        </w:rPr>
      </w:pPr>
      <w:bookmarkStart w:id="210" w:name="_Toc103506742"/>
      <w:r w:rsidRPr="00EF1F01">
        <w:rPr>
          <w:lang w:val="en-GB"/>
        </w:rPr>
        <w:t xml:space="preserve">Section 4: Project set-up, </w:t>
      </w:r>
      <w:r w:rsidR="00EB0736" w:rsidRPr="00EF1F01">
        <w:rPr>
          <w:lang w:val="en-GB"/>
        </w:rPr>
        <w:t>management,</w:t>
      </w:r>
      <w:r w:rsidRPr="00EF1F01">
        <w:rPr>
          <w:lang w:val="en-GB"/>
        </w:rPr>
        <w:t xml:space="preserve"> and governance</w:t>
      </w:r>
      <w:bookmarkEnd w:id="210"/>
    </w:p>
    <w:p w14:paraId="733E19F3" w14:textId="77777777" w:rsidR="00E47EA3" w:rsidRDefault="00E47EA3" w:rsidP="00E47EA3">
      <w:pPr>
        <w:spacing w:line="276" w:lineRule="auto"/>
        <w:jc w:val="both"/>
        <w:outlineLvl w:val="0"/>
        <w:rPr>
          <w:rFonts w:ascii="Corbel" w:eastAsiaTheme="minorHAnsi" w:hAnsi="Corbel" w:cs="Arial"/>
          <w:sz w:val="22"/>
          <w:szCs w:val="22"/>
          <w:lang w:val="en-GB"/>
        </w:rPr>
      </w:pPr>
    </w:p>
    <w:p w14:paraId="2576FCC0" w14:textId="77777777" w:rsidR="001F672A" w:rsidRDefault="00B72740" w:rsidP="00E47EA3">
      <w:pPr>
        <w:spacing w:line="276" w:lineRule="auto"/>
        <w:jc w:val="both"/>
        <w:outlineLvl w:val="0"/>
        <w:rPr>
          <w:rFonts w:ascii="Corbel" w:eastAsiaTheme="minorHAnsi" w:hAnsi="Corbel" w:cs="Arial"/>
          <w:sz w:val="22"/>
          <w:szCs w:val="22"/>
          <w:lang w:val="en-GB"/>
        </w:rPr>
      </w:pPr>
      <w:bookmarkStart w:id="211" w:name="_Toc103506743"/>
      <w:r w:rsidRPr="005F07CE">
        <w:rPr>
          <w:rFonts w:ascii="Corbel" w:eastAsiaTheme="minorHAnsi" w:hAnsi="Corbel" w:cs="Arial"/>
          <w:sz w:val="22"/>
          <w:szCs w:val="22"/>
          <w:lang w:val="en-GB"/>
        </w:rPr>
        <w:t>UNDP deliver</w:t>
      </w:r>
      <w:r w:rsidR="00052BA0" w:rsidRPr="005F07CE">
        <w:rPr>
          <w:rFonts w:ascii="Corbel" w:eastAsiaTheme="minorHAnsi" w:hAnsi="Corbel" w:cs="Arial"/>
          <w:sz w:val="22"/>
          <w:szCs w:val="22"/>
          <w:lang w:val="en-GB"/>
        </w:rPr>
        <w:t>ed</w:t>
      </w:r>
      <w:r w:rsidRPr="005F07CE">
        <w:rPr>
          <w:rFonts w:ascii="Corbel" w:eastAsiaTheme="minorHAnsi" w:hAnsi="Corbel" w:cs="Arial"/>
          <w:sz w:val="22"/>
          <w:szCs w:val="22"/>
          <w:lang w:val="en-GB"/>
        </w:rPr>
        <w:t xml:space="preserve"> project activities within the modality of Direct Implementation, in </w:t>
      </w:r>
      <w:r w:rsidR="007278DD" w:rsidRPr="005F07CE">
        <w:rPr>
          <w:rFonts w:ascii="Corbel" w:eastAsiaTheme="minorHAnsi" w:hAnsi="Corbel" w:cs="Arial"/>
          <w:sz w:val="22"/>
          <w:szCs w:val="22"/>
          <w:lang w:val="en-GB"/>
        </w:rPr>
        <w:t xml:space="preserve">compliance </w:t>
      </w:r>
      <w:r w:rsidRPr="005F07CE">
        <w:rPr>
          <w:rFonts w:ascii="Corbel" w:eastAsiaTheme="minorHAnsi" w:hAnsi="Corbel" w:cs="Arial"/>
          <w:sz w:val="22"/>
          <w:szCs w:val="22"/>
          <w:lang w:val="en-GB"/>
        </w:rPr>
        <w:t>with UNDP Programme and Operations Policies and Procedures (POPP)</w:t>
      </w:r>
      <w:r w:rsidR="007278DD" w:rsidRPr="005F07CE">
        <w:rPr>
          <w:rFonts w:ascii="Corbel" w:eastAsiaTheme="minorHAnsi" w:hAnsi="Corbel" w:cs="Arial"/>
          <w:sz w:val="22"/>
          <w:szCs w:val="22"/>
          <w:lang w:val="en-GB"/>
        </w:rPr>
        <w:t xml:space="preserve">, whereby compliance is supported by the dedicated Regional Programme </w:t>
      </w:r>
      <w:r w:rsidR="00A948DD" w:rsidRPr="005F07CE">
        <w:rPr>
          <w:rFonts w:ascii="Corbel" w:eastAsiaTheme="minorHAnsi" w:hAnsi="Corbel" w:cs="Arial"/>
          <w:sz w:val="22"/>
          <w:szCs w:val="22"/>
          <w:lang w:val="en-GB"/>
        </w:rPr>
        <w:t>Support Unit based in Beirut</w:t>
      </w:r>
      <w:r w:rsidRPr="005F07CE">
        <w:rPr>
          <w:rFonts w:ascii="Corbel" w:eastAsiaTheme="minorHAnsi" w:hAnsi="Corbel" w:cs="Arial"/>
          <w:sz w:val="22"/>
          <w:szCs w:val="22"/>
          <w:lang w:val="en-GB"/>
        </w:rPr>
        <w:t>.</w:t>
      </w:r>
      <w:bookmarkEnd w:id="211"/>
    </w:p>
    <w:p w14:paraId="69B0BB6D" w14:textId="77777777" w:rsidR="001F672A" w:rsidRDefault="001F672A" w:rsidP="00E47EA3">
      <w:pPr>
        <w:spacing w:line="276" w:lineRule="auto"/>
        <w:jc w:val="both"/>
        <w:outlineLvl w:val="0"/>
        <w:rPr>
          <w:rFonts w:ascii="Corbel" w:eastAsiaTheme="minorHAnsi" w:hAnsi="Corbel" w:cs="Arial"/>
          <w:sz w:val="22"/>
          <w:szCs w:val="22"/>
          <w:lang w:val="en-GB"/>
        </w:rPr>
      </w:pPr>
    </w:p>
    <w:p w14:paraId="7D9227E2" w14:textId="567EF476" w:rsidR="00D545C4" w:rsidRDefault="00504250" w:rsidP="00E47EA3">
      <w:pPr>
        <w:spacing w:line="276" w:lineRule="auto"/>
        <w:jc w:val="both"/>
        <w:outlineLvl w:val="0"/>
        <w:rPr>
          <w:rFonts w:ascii="Corbel" w:eastAsiaTheme="minorHAnsi" w:hAnsi="Corbel" w:cs="Arial"/>
          <w:sz w:val="22"/>
          <w:szCs w:val="22"/>
          <w:lang w:val="en-GB"/>
        </w:rPr>
      </w:pPr>
      <w:bookmarkStart w:id="212" w:name="_Toc103506744"/>
      <w:r w:rsidRPr="00DC6ED5">
        <w:rPr>
          <w:rFonts w:ascii="Corbel" w:eastAsiaTheme="minorHAnsi" w:hAnsi="Corbel" w:cs="Arial"/>
          <w:sz w:val="22"/>
          <w:szCs w:val="22"/>
          <w:lang w:val="en-GB"/>
        </w:rPr>
        <w:t xml:space="preserve">The </w:t>
      </w:r>
      <w:r>
        <w:rPr>
          <w:rFonts w:ascii="Corbel" w:eastAsiaTheme="minorHAnsi" w:hAnsi="Corbel" w:cs="Arial"/>
          <w:sz w:val="22"/>
          <w:szCs w:val="22"/>
          <w:lang w:val="en-GB"/>
        </w:rPr>
        <w:t xml:space="preserve">project team was </w:t>
      </w:r>
      <w:r w:rsidR="00EB0736">
        <w:rPr>
          <w:rFonts w:ascii="Corbel" w:eastAsiaTheme="minorHAnsi" w:hAnsi="Corbel" w:cs="Arial"/>
          <w:sz w:val="22"/>
          <w:szCs w:val="22"/>
          <w:lang w:val="en-GB"/>
        </w:rPr>
        <w:t>led</w:t>
      </w:r>
      <w:r>
        <w:rPr>
          <w:rFonts w:ascii="Corbel" w:eastAsiaTheme="minorHAnsi" w:hAnsi="Corbel" w:cs="Arial"/>
          <w:sz w:val="22"/>
          <w:szCs w:val="22"/>
          <w:lang w:val="en-GB"/>
        </w:rPr>
        <w:t xml:space="preserve"> by a </w:t>
      </w:r>
      <w:r w:rsidRPr="00DC6ED5">
        <w:rPr>
          <w:rFonts w:ascii="Corbel" w:eastAsiaTheme="minorHAnsi" w:hAnsi="Corbel" w:cs="Arial"/>
          <w:sz w:val="22"/>
          <w:szCs w:val="22"/>
          <w:lang w:val="en-GB"/>
        </w:rPr>
        <w:t xml:space="preserve">Chief Technical Advisor responsible to </w:t>
      </w:r>
      <w:r w:rsidR="00E13F34">
        <w:rPr>
          <w:rFonts w:ascii="Corbel" w:eastAsiaTheme="minorHAnsi" w:hAnsi="Corbel" w:cs="Arial"/>
          <w:sz w:val="22"/>
          <w:szCs w:val="22"/>
          <w:lang w:val="en-GB"/>
        </w:rPr>
        <w:t>provide technical advice</w:t>
      </w:r>
      <w:r w:rsidRPr="00DC6ED5">
        <w:rPr>
          <w:rFonts w:ascii="Corbel" w:eastAsiaTheme="minorHAnsi" w:hAnsi="Corbel" w:cs="Arial"/>
          <w:sz w:val="22"/>
          <w:szCs w:val="22"/>
          <w:lang w:val="en-GB"/>
        </w:rPr>
        <w:t xml:space="preserve">, monitor project implementation, and coordinate activities with stakeholders. </w:t>
      </w:r>
      <w:r w:rsidR="00E13F34">
        <w:rPr>
          <w:rFonts w:ascii="Corbel" w:eastAsiaTheme="minorHAnsi" w:hAnsi="Corbel" w:cs="Arial"/>
          <w:sz w:val="22"/>
          <w:szCs w:val="22"/>
          <w:lang w:val="en-GB"/>
        </w:rPr>
        <w:t xml:space="preserve">Through consultancies, or in cooperation with other </w:t>
      </w:r>
      <w:r w:rsidR="00321D11">
        <w:rPr>
          <w:rFonts w:ascii="Corbel" w:eastAsiaTheme="minorHAnsi" w:hAnsi="Corbel" w:cs="Arial"/>
          <w:sz w:val="22"/>
          <w:szCs w:val="22"/>
          <w:lang w:val="en-GB"/>
        </w:rPr>
        <w:t>international</w:t>
      </w:r>
      <w:r w:rsidR="00E13F34">
        <w:rPr>
          <w:rFonts w:ascii="Corbel" w:eastAsiaTheme="minorHAnsi" w:hAnsi="Corbel" w:cs="Arial"/>
          <w:sz w:val="22"/>
          <w:szCs w:val="22"/>
          <w:lang w:val="en-GB"/>
        </w:rPr>
        <w:t xml:space="preserve"> organisations such as UNCTAD</w:t>
      </w:r>
      <w:r w:rsidR="001F672A">
        <w:rPr>
          <w:rFonts w:ascii="Corbel" w:eastAsiaTheme="minorHAnsi" w:hAnsi="Corbel" w:cs="Arial"/>
          <w:sz w:val="22"/>
          <w:szCs w:val="22"/>
          <w:lang w:val="en-GB"/>
        </w:rPr>
        <w:t xml:space="preserve"> and WCO, t</w:t>
      </w:r>
      <w:r w:rsidRPr="00DC6ED5">
        <w:rPr>
          <w:rFonts w:ascii="Corbel" w:eastAsiaTheme="minorHAnsi" w:hAnsi="Corbel" w:cs="Arial"/>
          <w:sz w:val="22"/>
          <w:szCs w:val="22"/>
          <w:lang w:val="en-GB"/>
        </w:rPr>
        <w:t xml:space="preserve">he project mobilized expertise in trade policies (in goods and in services), risk management for border control operations, customs integrity, trade facilitation and development of the national single window, and customs automated processing. </w:t>
      </w:r>
      <w:r w:rsidR="00D545C4" w:rsidRPr="00DC6ED5">
        <w:rPr>
          <w:rFonts w:ascii="Corbel" w:eastAsiaTheme="minorHAnsi" w:hAnsi="Corbel" w:cs="Arial"/>
          <w:sz w:val="22"/>
          <w:szCs w:val="22"/>
          <w:lang w:val="en-GB"/>
        </w:rPr>
        <w:t>The project team partner</w:t>
      </w:r>
      <w:r w:rsidR="005A51B6">
        <w:rPr>
          <w:rFonts w:ascii="Corbel" w:eastAsiaTheme="minorHAnsi" w:hAnsi="Corbel" w:cs="Arial"/>
          <w:sz w:val="22"/>
          <w:szCs w:val="22"/>
          <w:lang w:val="en-GB"/>
        </w:rPr>
        <w:t>ed</w:t>
      </w:r>
      <w:r w:rsidR="00D545C4" w:rsidRPr="00DC6ED5">
        <w:rPr>
          <w:rFonts w:ascii="Corbel" w:eastAsiaTheme="minorHAnsi" w:hAnsi="Corbel" w:cs="Arial"/>
          <w:sz w:val="22"/>
          <w:szCs w:val="22"/>
          <w:lang w:val="en-GB"/>
        </w:rPr>
        <w:t xml:space="preserve"> with UNDP Lebanon, Morocco and Jordan during the design and delivery of </w:t>
      </w:r>
      <w:r w:rsidR="00407D5D">
        <w:rPr>
          <w:rFonts w:ascii="Corbel" w:eastAsiaTheme="minorHAnsi" w:hAnsi="Corbel" w:cs="Arial"/>
          <w:sz w:val="22"/>
          <w:szCs w:val="22"/>
          <w:lang w:val="en-GB"/>
        </w:rPr>
        <w:t xml:space="preserve">country-specific </w:t>
      </w:r>
      <w:r w:rsidR="00D545C4" w:rsidRPr="00DC6ED5">
        <w:rPr>
          <w:rFonts w:ascii="Corbel" w:eastAsiaTheme="minorHAnsi" w:hAnsi="Corbel" w:cs="Arial"/>
          <w:sz w:val="22"/>
          <w:szCs w:val="22"/>
          <w:lang w:val="en-GB"/>
        </w:rPr>
        <w:t>project activities.</w:t>
      </w:r>
      <w:bookmarkEnd w:id="212"/>
      <w:r w:rsidR="00F97DAB" w:rsidRPr="00DC6ED5">
        <w:rPr>
          <w:rFonts w:ascii="Corbel" w:eastAsiaTheme="minorHAnsi" w:hAnsi="Corbel" w:cs="Arial"/>
          <w:sz w:val="22"/>
          <w:szCs w:val="22"/>
          <w:lang w:val="en-GB"/>
        </w:rPr>
        <w:t xml:space="preserve"> </w:t>
      </w:r>
    </w:p>
    <w:p w14:paraId="52019377" w14:textId="77777777" w:rsidR="00A915EA" w:rsidRPr="00DC6ED5" w:rsidRDefault="00A915EA" w:rsidP="00E47EA3">
      <w:pPr>
        <w:spacing w:line="276" w:lineRule="auto"/>
        <w:jc w:val="both"/>
        <w:outlineLvl w:val="0"/>
        <w:rPr>
          <w:rFonts w:ascii="Corbel" w:eastAsiaTheme="minorHAnsi" w:hAnsi="Corbel" w:cs="Arial"/>
          <w:sz w:val="22"/>
          <w:szCs w:val="22"/>
          <w:lang w:val="en-GB"/>
        </w:rPr>
      </w:pPr>
    </w:p>
    <w:p w14:paraId="6E7EED23" w14:textId="2821A569" w:rsidR="00341825" w:rsidRDefault="00D545C4" w:rsidP="0003093F">
      <w:pPr>
        <w:spacing w:line="276" w:lineRule="auto"/>
        <w:jc w:val="both"/>
        <w:outlineLvl w:val="0"/>
        <w:rPr>
          <w:rFonts w:ascii="Corbel" w:eastAsiaTheme="minorHAnsi" w:hAnsi="Corbel" w:cs="Arial"/>
          <w:sz w:val="22"/>
          <w:szCs w:val="22"/>
          <w:lang w:val="en-GB"/>
        </w:rPr>
      </w:pPr>
      <w:bookmarkStart w:id="213" w:name="_Toc103506745"/>
      <w:r w:rsidRPr="00DC6ED5">
        <w:rPr>
          <w:rFonts w:ascii="Corbel" w:eastAsiaTheme="minorHAnsi" w:hAnsi="Corbel" w:cs="Arial"/>
          <w:sz w:val="22"/>
          <w:szCs w:val="22"/>
          <w:lang w:val="en-GB"/>
        </w:rPr>
        <w:t>The project document and its Cost Sharing Agreement were signed in August 2017 and the implementation of specific activities is carried out through the operationalization of annual work plan</w:t>
      </w:r>
      <w:r w:rsidR="00E47A58">
        <w:rPr>
          <w:rFonts w:ascii="Corbel" w:eastAsiaTheme="minorHAnsi" w:hAnsi="Corbel" w:cs="Arial"/>
          <w:sz w:val="22"/>
          <w:szCs w:val="22"/>
          <w:lang w:val="en-GB"/>
        </w:rPr>
        <w:t xml:space="preserve">s </w:t>
      </w:r>
      <w:r w:rsidR="00321D11">
        <w:rPr>
          <w:rFonts w:ascii="Corbel" w:eastAsiaTheme="minorHAnsi" w:hAnsi="Corbel" w:cs="Arial"/>
          <w:sz w:val="22"/>
          <w:szCs w:val="22"/>
          <w:lang w:val="en-GB"/>
        </w:rPr>
        <w:t>designed</w:t>
      </w:r>
      <w:r w:rsidR="00E47A58">
        <w:rPr>
          <w:rFonts w:ascii="Corbel" w:eastAsiaTheme="minorHAnsi" w:hAnsi="Corbel" w:cs="Arial"/>
          <w:sz w:val="22"/>
          <w:szCs w:val="22"/>
          <w:lang w:val="en-GB"/>
        </w:rPr>
        <w:t xml:space="preserve"> in consultation with LAS and member states </w:t>
      </w:r>
      <w:r w:rsidR="00E94BF0">
        <w:rPr>
          <w:rFonts w:ascii="Corbel" w:eastAsiaTheme="minorHAnsi" w:hAnsi="Corbel" w:cs="Arial"/>
          <w:sz w:val="22"/>
          <w:szCs w:val="22"/>
          <w:lang w:val="en-GB"/>
        </w:rPr>
        <w:t xml:space="preserve">to respond to their </w:t>
      </w:r>
      <w:r w:rsidRPr="00DC6ED5">
        <w:rPr>
          <w:rFonts w:ascii="Corbel" w:eastAsiaTheme="minorHAnsi" w:hAnsi="Corbel" w:cs="Arial"/>
          <w:sz w:val="22"/>
          <w:szCs w:val="22"/>
          <w:lang w:val="en-GB"/>
        </w:rPr>
        <w:t>priorit</w:t>
      </w:r>
      <w:r w:rsidR="00E94BF0">
        <w:rPr>
          <w:rFonts w:ascii="Corbel" w:eastAsiaTheme="minorHAnsi" w:hAnsi="Corbel" w:cs="Arial"/>
          <w:sz w:val="22"/>
          <w:szCs w:val="22"/>
          <w:lang w:val="en-GB"/>
        </w:rPr>
        <w:t>ies for trade</w:t>
      </w:r>
      <w:r w:rsidRPr="00DC6ED5">
        <w:rPr>
          <w:rFonts w:ascii="Corbel" w:eastAsiaTheme="minorHAnsi" w:hAnsi="Corbel" w:cs="Arial"/>
          <w:sz w:val="22"/>
          <w:szCs w:val="22"/>
          <w:lang w:val="en-GB"/>
        </w:rPr>
        <w:t xml:space="preserve"> policy reform</w:t>
      </w:r>
      <w:r w:rsidR="000D2FA7">
        <w:rPr>
          <w:rFonts w:ascii="Corbel" w:eastAsiaTheme="minorHAnsi" w:hAnsi="Corbel" w:cs="Arial"/>
          <w:sz w:val="22"/>
          <w:szCs w:val="22"/>
          <w:lang w:val="en-GB"/>
        </w:rPr>
        <w:t>, with the aim to ensure</w:t>
      </w:r>
      <w:r w:rsidRPr="00DC6ED5">
        <w:rPr>
          <w:rFonts w:ascii="Corbel" w:eastAsiaTheme="minorHAnsi" w:hAnsi="Corbel" w:cs="Arial"/>
          <w:sz w:val="22"/>
          <w:szCs w:val="22"/>
          <w:lang w:val="en-GB"/>
        </w:rPr>
        <w:t xml:space="preserve"> ownership and </w:t>
      </w:r>
      <w:r w:rsidR="009A49C6" w:rsidRPr="00DC6ED5">
        <w:rPr>
          <w:rFonts w:ascii="Corbel" w:eastAsiaTheme="minorHAnsi" w:hAnsi="Corbel" w:cs="Arial"/>
          <w:sz w:val="22"/>
          <w:szCs w:val="22"/>
          <w:lang w:val="en-GB"/>
        </w:rPr>
        <w:t xml:space="preserve">feasibility of </w:t>
      </w:r>
      <w:r w:rsidR="00690528">
        <w:rPr>
          <w:rFonts w:ascii="Corbel" w:eastAsiaTheme="minorHAnsi" w:hAnsi="Corbel" w:cs="Arial"/>
          <w:sz w:val="22"/>
          <w:szCs w:val="22"/>
          <w:lang w:val="en-GB"/>
        </w:rPr>
        <w:t xml:space="preserve">the </w:t>
      </w:r>
      <w:r w:rsidR="009A49C6" w:rsidRPr="00DC6ED5">
        <w:rPr>
          <w:rFonts w:ascii="Corbel" w:eastAsiaTheme="minorHAnsi" w:hAnsi="Corbel" w:cs="Arial"/>
          <w:sz w:val="22"/>
          <w:szCs w:val="22"/>
          <w:lang w:val="en-GB"/>
        </w:rPr>
        <w:t xml:space="preserve">proposed </w:t>
      </w:r>
      <w:r w:rsidR="00321D11">
        <w:rPr>
          <w:rFonts w:ascii="Corbel" w:eastAsiaTheme="minorHAnsi" w:hAnsi="Corbel" w:cs="Arial"/>
          <w:sz w:val="22"/>
          <w:szCs w:val="22"/>
          <w:lang w:val="en-GB"/>
        </w:rPr>
        <w:t>activities and</w:t>
      </w:r>
      <w:r w:rsidR="009F53EF">
        <w:rPr>
          <w:rFonts w:ascii="Corbel" w:eastAsiaTheme="minorHAnsi" w:hAnsi="Corbel" w:cs="Arial"/>
          <w:sz w:val="22"/>
          <w:szCs w:val="22"/>
          <w:lang w:val="en-GB"/>
        </w:rPr>
        <w:t xml:space="preserve"> </w:t>
      </w:r>
      <w:r w:rsidR="00407D5D">
        <w:rPr>
          <w:rFonts w:ascii="Corbel" w:eastAsiaTheme="minorHAnsi" w:hAnsi="Corbel" w:cs="Arial"/>
          <w:sz w:val="22"/>
          <w:szCs w:val="22"/>
          <w:lang w:val="en-GB"/>
        </w:rPr>
        <w:t xml:space="preserve">agreed by </w:t>
      </w:r>
      <w:proofErr w:type="spellStart"/>
      <w:r w:rsidR="00407D5D">
        <w:rPr>
          <w:rFonts w:ascii="Corbel" w:eastAsiaTheme="minorHAnsi" w:hAnsi="Corbel" w:cs="Arial"/>
          <w:sz w:val="22"/>
          <w:szCs w:val="22"/>
          <w:lang w:val="en-GB"/>
        </w:rPr>
        <w:t>Sida</w:t>
      </w:r>
      <w:proofErr w:type="spellEnd"/>
      <w:r w:rsidR="009A49C6" w:rsidRPr="00DC6ED5">
        <w:rPr>
          <w:rFonts w:ascii="Corbel" w:eastAsiaTheme="minorHAnsi" w:hAnsi="Corbel" w:cs="Arial"/>
          <w:sz w:val="22"/>
          <w:szCs w:val="22"/>
          <w:lang w:val="en-GB"/>
        </w:rPr>
        <w:t>.</w:t>
      </w:r>
      <w:bookmarkEnd w:id="213"/>
      <w:r w:rsidR="00341825">
        <w:rPr>
          <w:rFonts w:ascii="Corbel" w:eastAsiaTheme="minorHAnsi" w:hAnsi="Corbel" w:cs="Arial"/>
          <w:sz w:val="22"/>
          <w:szCs w:val="22"/>
          <w:lang w:val="en-GB"/>
        </w:rPr>
        <w:br w:type="page"/>
      </w:r>
    </w:p>
    <w:p w14:paraId="19933920" w14:textId="68E1A88A" w:rsidR="00D12064" w:rsidRPr="00EF1F01" w:rsidRDefault="00D12064" w:rsidP="00407D5D">
      <w:pPr>
        <w:pStyle w:val="Heading1"/>
        <w:rPr>
          <w:lang w:val="en-GB"/>
        </w:rPr>
      </w:pPr>
      <w:bookmarkStart w:id="214" w:name="_Toc103506746"/>
      <w:bookmarkEnd w:id="38"/>
      <w:r w:rsidRPr="00FE7FB2">
        <w:rPr>
          <w:lang w:val="en-GB"/>
        </w:rPr>
        <w:lastRenderedPageBreak/>
        <w:t>I</w:t>
      </w:r>
      <w:bookmarkStart w:id="215" w:name="_Toc364027496"/>
      <w:r w:rsidR="005D7F1A" w:rsidRPr="00FE7FB2">
        <w:rPr>
          <w:lang w:val="en-GB"/>
        </w:rPr>
        <w:t>V</w:t>
      </w:r>
      <w:r w:rsidRPr="00FE7FB2">
        <w:rPr>
          <w:lang w:val="en-GB"/>
        </w:rPr>
        <w:t xml:space="preserve">. </w:t>
      </w:r>
      <w:r w:rsidR="001B2EAA" w:rsidRPr="00FE7FB2">
        <w:rPr>
          <w:lang w:val="en-GB"/>
        </w:rPr>
        <w:tab/>
      </w:r>
      <w:bookmarkEnd w:id="215"/>
      <w:r w:rsidR="003A4A4C" w:rsidRPr="00FE7FB2">
        <w:rPr>
          <w:lang w:val="en-GB"/>
        </w:rPr>
        <w:t>Lessons Learned</w:t>
      </w:r>
      <w:r w:rsidR="00193706" w:rsidRPr="00FE7FB2">
        <w:rPr>
          <w:lang w:val="en-GB"/>
        </w:rPr>
        <w:t xml:space="preserve"> </w:t>
      </w:r>
      <w:r w:rsidR="003977EB" w:rsidRPr="00FE7FB2">
        <w:rPr>
          <w:lang w:val="en-GB"/>
        </w:rPr>
        <w:t>and Recommendations</w:t>
      </w:r>
      <w:bookmarkEnd w:id="214"/>
    </w:p>
    <w:p w14:paraId="40034CAD" w14:textId="77777777" w:rsidR="00D12064" w:rsidRPr="00EF1F01" w:rsidRDefault="00A06682" w:rsidP="00D12064">
      <w:pPr>
        <w:outlineLvl w:val="0"/>
        <w:rPr>
          <w:rFonts w:ascii="Corbel" w:hAnsi="Corbel" w:cs="Arial"/>
          <w:b/>
          <w:sz w:val="22"/>
          <w:szCs w:val="22"/>
          <w:lang w:val="en-GB"/>
        </w:rPr>
      </w:pPr>
      <w:bookmarkStart w:id="216" w:name="_Toc103506747"/>
      <w:r>
        <w:rPr>
          <w:rFonts w:ascii="Corbel" w:hAnsi="Corbel" w:cs="Arial"/>
          <w:sz w:val="22"/>
          <w:szCs w:val="22"/>
          <w:lang w:val="en-GB"/>
        </w:rPr>
        <w:pict w14:anchorId="6EA0828D">
          <v:rect id="_x0000_i1028" style="width:522pt;height:1.5pt" o:hralign="center" o:hrstd="t" o:hrnoshade="t" o:hr="t" fillcolor="#17365d" stroked="f"/>
        </w:pict>
      </w:r>
      <w:bookmarkEnd w:id="216"/>
    </w:p>
    <w:p w14:paraId="0CBD80CC" w14:textId="3F4AAE3E" w:rsidR="00521907" w:rsidRPr="00DC6ED5" w:rsidRDefault="00B85C69" w:rsidP="00FE7FB2">
      <w:pPr>
        <w:pStyle w:val="Heading2"/>
        <w:rPr>
          <w:lang w:val="en-GB"/>
        </w:rPr>
      </w:pPr>
      <w:bookmarkStart w:id="217" w:name="_Toc103506748"/>
      <w:r w:rsidRPr="4F6DD0A6">
        <w:rPr>
          <w:lang w:val="en-GB"/>
        </w:rPr>
        <w:t xml:space="preserve">Lessons learned </w:t>
      </w:r>
      <w:r w:rsidR="00CB7DEB" w:rsidRPr="4F6DD0A6">
        <w:rPr>
          <w:lang w:val="en-GB"/>
        </w:rPr>
        <w:t>collected through project implementation</w:t>
      </w:r>
      <w:r w:rsidR="00927223" w:rsidRPr="4F6DD0A6">
        <w:rPr>
          <w:lang w:val="en-GB"/>
        </w:rPr>
        <w:t xml:space="preserve"> and evaluation</w:t>
      </w:r>
      <w:bookmarkEnd w:id="217"/>
    </w:p>
    <w:p w14:paraId="63CFD1A4" w14:textId="5CE7D19E" w:rsidR="00D55FF0" w:rsidRDefault="00D55FF0" w:rsidP="00D55FF0">
      <w:pPr>
        <w:spacing w:before="120" w:after="120" w:line="300" w:lineRule="exact"/>
        <w:jc w:val="both"/>
        <w:rPr>
          <w:rFonts w:ascii="Corbel" w:hAnsi="Corbel" w:cs="Arial"/>
          <w:sz w:val="22"/>
          <w:szCs w:val="22"/>
          <w:lang w:val="en-GB"/>
        </w:rPr>
      </w:pPr>
      <w:r w:rsidRPr="00927223">
        <w:rPr>
          <w:rFonts w:ascii="Corbel" w:hAnsi="Corbel" w:cs="Arial"/>
          <w:sz w:val="22"/>
          <w:szCs w:val="22"/>
          <w:u w:val="single"/>
          <w:lang w:val="en-GB"/>
        </w:rPr>
        <w:t xml:space="preserve">Lesson learned </w:t>
      </w:r>
      <w:r>
        <w:rPr>
          <w:rFonts w:ascii="Corbel" w:hAnsi="Corbel" w:cs="Arial"/>
          <w:sz w:val="22"/>
          <w:szCs w:val="22"/>
          <w:u w:val="single"/>
          <w:lang w:val="en-GB"/>
        </w:rPr>
        <w:t>1</w:t>
      </w:r>
      <w:r>
        <w:rPr>
          <w:rFonts w:ascii="Corbel" w:hAnsi="Corbel" w:cs="Arial"/>
          <w:sz w:val="22"/>
          <w:szCs w:val="22"/>
          <w:lang w:val="en-GB"/>
        </w:rPr>
        <w:t xml:space="preserve">. The initial broad and open-ended project designed made it difficult to measure the results achieved. </w:t>
      </w:r>
      <w:r w:rsidRPr="00927223">
        <w:rPr>
          <w:rFonts w:ascii="Corbel" w:hAnsi="Corbel" w:cs="Arial"/>
          <w:sz w:val="22"/>
          <w:szCs w:val="22"/>
          <w:lang w:val="en-GB"/>
        </w:rPr>
        <w:t>Effective trade interventions need to focus on few ambitious but achievable and clearly defined pillars – preferably capacity-development and infrastructure support - and provide a clear rationale and results chain based on comprehensive roadmaps showing how these interventions contribute to development outcomes such as poverty reduction.</w:t>
      </w:r>
      <w:r>
        <w:rPr>
          <w:rFonts w:ascii="Corbel" w:hAnsi="Corbel" w:cs="Arial"/>
          <w:sz w:val="22"/>
          <w:szCs w:val="22"/>
          <w:lang w:val="en-GB"/>
        </w:rPr>
        <w:t xml:space="preserve"> Moreover:</w:t>
      </w:r>
    </w:p>
    <w:p w14:paraId="36AA5B78" w14:textId="5F1D0F97" w:rsidR="00D55FF0" w:rsidRDefault="00D55FF0" w:rsidP="000168EC">
      <w:pPr>
        <w:pStyle w:val="ListParagraph"/>
        <w:numPr>
          <w:ilvl w:val="0"/>
          <w:numId w:val="28"/>
        </w:numPr>
        <w:spacing w:before="120" w:after="120" w:line="300" w:lineRule="exact"/>
        <w:jc w:val="both"/>
        <w:rPr>
          <w:rFonts w:ascii="Corbel" w:hAnsi="Corbel" w:cs="Arial"/>
          <w:sz w:val="22"/>
          <w:szCs w:val="22"/>
          <w:lang w:val="en-GB"/>
        </w:rPr>
      </w:pPr>
      <w:r w:rsidRPr="4F6DD0A6">
        <w:rPr>
          <w:rFonts w:ascii="Corbel" w:hAnsi="Corbel" w:cs="Arial"/>
          <w:sz w:val="22"/>
          <w:szCs w:val="22"/>
          <w:lang w:val="en-GB"/>
        </w:rPr>
        <w:t xml:space="preserve">Once a precise scope of intervention is identified, the design phase also needs to collect proper baselines: while being demand driven is conducive to beneficiaries’ satisfaction and responsive to their needs, detailed data at the national and regional levels is required to tailor the project’s support areas for regional economic integration. The lack of needs assessments and stakeholder/context mapping can easily result in the provision of ad-hoc, incoherent and not integrated support, with limited contribution at the outcome level. </w:t>
      </w:r>
    </w:p>
    <w:p w14:paraId="4083CABC" w14:textId="551F5E9C" w:rsidR="00D55FF0" w:rsidRDefault="00D55FF0" w:rsidP="000168EC">
      <w:pPr>
        <w:pStyle w:val="ListParagraph"/>
        <w:numPr>
          <w:ilvl w:val="0"/>
          <w:numId w:val="28"/>
        </w:numPr>
        <w:spacing w:before="120" w:after="120" w:line="300" w:lineRule="exact"/>
        <w:jc w:val="both"/>
        <w:rPr>
          <w:rFonts w:ascii="Corbel" w:hAnsi="Corbel" w:cs="Arial"/>
          <w:sz w:val="22"/>
          <w:szCs w:val="22"/>
          <w:lang w:val="en-GB"/>
        </w:rPr>
      </w:pPr>
      <w:r w:rsidRPr="4F6DD0A6">
        <w:rPr>
          <w:rFonts w:ascii="Corbel" w:hAnsi="Corbel" w:cs="Arial"/>
          <w:sz w:val="22"/>
          <w:szCs w:val="22"/>
          <w:lang w:val="en-GB"/>
        </w:rPr>
        <w:t>A solid results-based management strategy and tools to measure capacity development initiatives' effectiveness are essential to capture the project’s actual benefits for stakeholders adequately. To scale and replicate successful initiatives, lessons learned documentation and institutional learning mechanisms need to be put in place.</w:t>
      </w:r>
    </w:p>
    <w:p w14:paraId="1B05545B" w14:textId="77777777" w:rsidR="00D55FF0" w:rsidRPr="00404611" w:rsidRDefault="00D55FF0" w:rsidP="000168EC">
      <w:pPr>
        <w:pStyle w:val="ListParagraph"/>
        <w:numPr>
          <w:ilvl w:val="0"/>
          <w:numId w:val="28"/>
        </w:numPr>
        <w:spacing w:before="120" w:after="120" w:line="300" w:lineRule="exact"/>
        <w:jc w:val="both"/>
        <w:rPr>
          <w:rFonts w:ascii="Corbel" w:hAnsi="Corbel" w:cs="Arial"/>
          <w:sz w:val="22"/>
          <w:szCs w:val="22"/>
          <w:lang w:val="en-GB"/>
        </w:rPr>
      </w:pPr>
      <w:r w:rsidRPr="00927223">
        <w:rPr>
          <w:rFonts w:ascii="Corbel" w:hAnsi="Corbel" w:cs="Arial"/>
          <w:sz w:val="22"/>
          <w:szCs w:val="22"/>
          <w:lang w:val="en-GB"/>
        </w:rPr>
        <w:t>Project governance mechanisms are essential for corrective action and sustainability beyond a project’s duration. In this project, if the project advisory board was activated from the project’s onset, better monitoring could have triggered timely corrective action to optimise synchronicity between all stakeholders.</w:t>
      </w:r>
    </w:p>
    <w:p w14:paraId="495FBD55" w14:textId="77777777" w:rsidR="00D55FF0" w:rsidRDefault="00D55FF0" w:rsidP="007F4A98">
      <w:pPr>
        <w:pStyle w:val="ListParagraph"/>
        <w:spacing w:before="120" w:after="120" w:line="300" w:lineRule="exact"/>
        <w:ind w:left="0"/>
        <w:contextualSpacing w:val="0"/>
        <w:jc w:val="both"/>
        <w:rPr>
          <w:rFonts w:ascii="Corbel" w:hAnsi="Corbel" w:cs="Arial"/>
          <w:sz w:val="22"/>
          <w:szCs w:val="22"/>
          <w:u w:val="single"/>
          <w:lang w:val="en-GB"/>
        </w:rPr>
      </w:pPr>
    </w:p>
    <w:p w14:paraId="1560A433" w14:textId="3221F32F" w:rsidR="001A10D8" w:rsidRPr="00DC6ED5" w:rsidRDefault="00CB7DEB" w:rsidP="007F4A98">
      <w:pPr>
        <w:pStyle w:val="ListParagraph"/>
        <w:spacing w:before="120" w:after="120" w:line="300" w:lineRule="exact"/>
        <w:ind w:left="0"/>
        <w:contextualSpacing w:val="0"/>
        <w:jc w:val="both"/>
        <w:rPr>
          <w:rFonts w:ascii="Corbel" w:hAnsi="Corbel" w:cs="Arial"/>
          <w:sz w:val="22"/>
          <w:szCs w:val="22"/>
          <w:lang w:val="en-GB"/>
        </w:rPr>
      </w:pPr>
      <w:r>
        <w:rPr>
          <w:rFonts w:ascii="Corbel" w:hAnsi="Corbel" w:cs="Arial"/>
          <w:sz w:val="22"/>
          <w:szCs w:val="22"/>
          <w:u w:val="single"/>
          <w:lang w:val="en-GB"/>
        </w:rPr>
        <w:t>Lesson Learned</w:t>
      </w:r>
      <w:r w:rsidR="00DD3F86" w:rsidRPr="00DC6ED5">
        <w:rPr>
          <w:rFonts w:ascii="Corbel" w:hAnsi="Corbel" w:cs="Arial"/>
          <w:sz w:val="22"/>
          <w:szCs w:val="22"/>
          <w:u w:val="single"/>
          <w:lang w:val="en-GB"/>
        </w:rPr>
        <w:t xml:space="preserve"> </w:t>
      </w:r>
      <w:r w:rsidR="00D55FF0">
        <w:rPr>
          <w:rFonts w:ascii="Corbel" w:hAnsi="Corbel" w:cs="Arial"/>
          <w:sz w:val="22"/>
          <w:szCs w:val="22"/>
          <w:u w:val="single"/>
          <w:lang w:val="en-GB"/>
        </w:rPr>
        <w:t>2</w:t>
      </w:r>
      <w:r w:rsidR="00DD3F86" w:rsidRPr="00DC6ED5">
        <w:rPr>
          <w:rFonts w:ascii="Corbel" w:hAnsi="Corbel" w:cs="Arial"/>
          <w:sz w:val="22"/>
          <w:szCs w:val="22"/>
          <w:lang w:val="en-GB"/>
        </w:rPr>
        <w:t xml:space="preserve">: </w:t>
      </w:r>
      <w:r w:rsidR="00D35BF0">
        <w:rPr>
          <w:rFonts w:ascii="Corbel" w:hAnsi="Corbel" w:cs="Arial"/>
          <w:sz w:val="22"/>
          <w:szCs w:val="22"/>
          <w:lang w:val="en-GB"/>
        </w:rPr>
        <w:t xml:space="preserve">Occasionally, </w:t>
      </w:r>
      <w:r w:rsidR="007158C6" w:rsidRPr="00DC6ED5">
        <w:rPr>
          <w:rFonts w:ascii="Corbel" w:hAnsi="Corbel" w:cs="Arial"/>
          <w:sz w:val="22"/>
          <w:szCs w:val="22"/>
          <w:lang w:val="en-GB"/>
        </w:rPr>
        <w:t xml:space="preserve">countries backed away </w:t>
      </w:r>
      <w:r w:rsidR="007158C6">
        <w:rPr>
          <w:rFonts w:ascii="Corbel" w:hAnsi="Corbel" w:cs="Arial"/>
          <w:sz w:val="22"/>
          <w:szCs w:val="22"/>
          <w:lang w:val="en-GB"/>
        </w:rPr>
        <w:t>from</w:t>
      </w:r>
      <w:r w:rsidR="007158C6" w:rsidRPr="00DC6ED5">
        <w:rPr>
          <w:rFonts w:ascii="Corbel" w:hAnsi="Corbel" w:cs="Arial"/>
          <w:sz w:val="22"/>
          <w:szCs w:val="22"/>
          <w:lang w:val="en-GB"/>
        </w:rPr>
        <w:t xml:space="preserve"> the implementation of regional decisions </w:t>
      </w:r>
      <w:r w:rsidR="00C20E1D">
        <w:rPr>
          <w:rFonts w:ascii="Corbel" w:hAnsi="Corbel" w:cs="Arial"/>
          <w:sz w:val="22"/>
          <w:szCs w:val="22"/>
          <w:lang w:val="en-GB"/>
        </w:rPr>
        <w:t>allowing</w:t>
      </w:r>
      <w:r w:rsidR="007158C6" w:rsidRPr="00DC6ED5">
        <w:rPr>
          <w:rFonts w:ascii="Corbel" w:hAnsi="Corbel" w:cs="Arial"/>
          <w:sz w:val="22"/>
          <w:szCs w:val="22"/>
          <w:lang w:val="en-GB"/>
        </w:rPr>
        <w:t xml:space="preserve"> national agenda</w:t>
      </w:r>
      <w:r w:rsidR="00C20E1D">
        <w:rPr>
          <w:rFonts w:ascii="Corbel" w:hAnsi="Corbel" w:cs="Arial"/>
          <w:sz w:val="22"/>
          <w:szCs w:val="22"/>
          <w:lang w:val="en-GB"/>
        </w:rPr>
        <w:t>s to</w:t>
      </w:r>
      <w:r w:rsidR="007158C6" w:rsidRPr="00DC6ED5">
        <w:rPr>
          <w:rFonts w:ascii="Corbel" w:hAnsi="Corbel" w:cs="Arial"/>
          <w:sz w:val="22"/>
          <w:szCs w:val="22"/>
          <w:lang w:val="en-GB"/>
        </w:rPr>
        <w:t xml:space="preserve"> </w:t>
      </w:r>
      <w:r w:rsidR="007158C6">
        <w:rPr>
          <w:rFonts w:ascii="Corbel" w:hAnsi="Corbel" w:cs="Arial"/>
          <w:sz w:val="22"/>
          <w:szCs w:val="22"/>
          <w:lang w:val="en-GB"/>
        </w:rPr>
        <w:t>jeopar</w:t>
      </w:r>
      <w:r w:rsidR="001D61CA">
        <w:rPr>
          <w:rFonts w:ascii="Corbel" w:hAnsi="Corbel" w:cs="Arial"/>
          <w:sz w:val="22"/>
          <w:szCs w:val="22"/>
          <w:lang w:val="en-GB"/>
        </w:rPr>
        <w:t>dize</w:t>
      </w:r>
      <w:r w:rsidR="007158C6" w:rsidRPr="00DC6ED5">
        <w:rPr>
          <w:rFonts w:ascii="Corbel" w:hAnsi="Corbel" w:cs="Arial"/>
          <w:sz w:val="22"/>
          <w:szCs w:val="22"/>
          <w:lang w:val="en-GB"/>
        </w:rPr>
        <w:t xml:space="preserve"> </w:t>
      </w:r>
      <w:r w:rsidR="001D61CA">
        <w:rPr>
          <w:rFonts w:ascii="Corbel" w:hAnsi="Corbel" w:cs="Arial"/>
          <w:sz w:val="22"/>
          <w:szCs w:val="22"/>
          <w:lang w:val="en-GB"/>
        </w:rPr>
        <w:t xml:space="preserve">the </w:t>
      </w:r>
      <w:r w:rsidR="007158C6" w:rsidRPr="00DC6ED5">
        <w:rPr>
          <w:rFonts w:ascii="Corbel" w:hAnsi="Corbel" w:cs="Arial"/>
          <w:sz w:val="22"/>
          <w:szCs w:val="22"/>
          <w:lang w:val="en-GB"/>
        </w:rPr>
        <w:t xml:space="preserve">regional </w:t>
      </w:r>
      <w:r w:rsidR="00C20E1D">
        <w:rPr>
          <w:rFonts w:ascii="Corbel" w:hAnsi="Corbel" w:cs="Arial"/>
          <w:sz w:val="22"/>
          <w:szCs w:val="22"/>
          <w:lang w:val="en-GB"/>
        </w:rPr>
        <w:t>one</w:t>
      </w:r>
      <w:r w:rsidR="001D61CA">
        <w:rPr>
          <w:rFonts w:ascii="Corbel" w:hAnsi="Corbel" w:cs="Arial"/>
          <w:sz w:val="22"/>
          <w:szCs w:val="22"/>
          <w:lang w:val="en-GB"/>
        </w:rPr>
        <w:t>. This</w:t>
      </w:r>
      <w:r w:rsidR="007158C6" w:rsidRPr="00DC6ED5">
        <w:rPr>
          <w:rFonts w:ascii="Corbel" w:hAnsi="Corbel" w:cs="Arial"/>
          <w:sz w:val="22"/>
          <w:szCs w:val="22"/>
          <w:lang w:val="en-GB"/>
        </w:rPr>
        <w:t xml:space="preserve"> </w:t>
      </w:r>
      <w:r w:rsidR="001A10D8" w:rsidRPr="00DC6ED5">
        <w:rPr>
          <w:rFonts w:ascii="Corbel" w:hAnsi="Corbel" w:cs="Arial"/>
          <w:sz w:val="22"/>
          <w:szCs w:val="22"/>
          <w:lang w:val="en-GB"/>
        </w:rPr>
        <w:t xml:space="preserve">unstable political commitment and determination by PAFTA </w:t>
      </w:r>
      <w:r w:rsidR="00494D92">
        <w:rPr>
          <w:rFonts w:ascii="Corbel" w:hAnsi="Corbel" w:cs="Arial"/>
          <w:sz w:val="22"/>
          <w:szCs w:val="22"/>
          <w:lang w:val="en-GB"/>
        </w:rPr>
        <w:t>signatory</w:t>
      </w:r>
      <w:r w:rsidR="001A10D8" w:rsidRPr="00DC6ED5">
        <w:rPr>
          <w:rFonts w:ascii="Corbel" w:hAnsi="Corbel" w:cs="Arial"/>
          <w:sz w:val="22"/>
          <w:szCs w:val="22"/>
          <w:lang w:val="en-GB"/>
        </w:rPr>
        <w:t xml:space="preserve"> countries </w:t>
      </w:r>
      <w:r w:rsidR="00410A5C">
        <w:rPr>
          <w:rFonts w:ascii="Corbel" w:hAnsi="Corbel" w:cs="Arial"/>
          <w:sz w:val="22"/>
          <w:szCs w:val="22"/>
          <w:lang w:val="en-GB"/>
        </w:rPr>
        <w:t xml:space="preserve">is </w:t>
      </w:r>
      <w:r w:rsidR="001C7769">
        <w:rPr>
          <w:rFonts w:ascii="Corbel" w:hAnsi="Corbel" w:cs="Arial"/>
          <w:sz w:val="22"/>
          <w:szCs w:val="22"/>
          <w:lang w:val="en-GB"/>
        </w:rPr>
        <w:t xml:space="preserve">an unavoidable feature and </w:t>
      </w:r>
      <w:r w:rsidR="00410A5C">
        <w:rPr>
          <w:rFonts w:ascii="Corbel" w:hAnsi="Corbel" w:cs="Arial"/>
          <w:sz w:val="22"/>
          <w:szCs w:val="22"/>
          <w:lang w:val="en-GB"/>
        </w:rPr>
        <w:t>one of the major challenges for economic integration</w:t>
      </w:r>
      <w:r w:rsidR="001C7769">
        <w:rPr>
          <w:rFonts w:ascii="Corbel" w:hAnsi="Corbel" w:cs="Arial"/>
          <w:sz w:val="22"/>
          <w:szCs w:val="22"/>
          <w:lang w:val="en-GB"/>
        </w:rPr>
        <w:t xml:space="preserve">. </w:t>
      </w:r>
      <w:r w:rsidR="006A6279">
        <w:rPr>
          <w:rFonts w:ascii="Corbel" w:hAnsi="Corbel" w:cs="Arial"/>
          <w:sz w:val="22"/>
          <w:szCs w:val="22"/>
          <w:lang w:val="en-GB"/>
        </w:rPr>
        <w:t>The project responded through adaptation and</w:t>
      </w:r>
      <w:r w:rsidR="001A10D8" w:rsidRPr="00DC6ED5">
        <w:rPr>
          <w:rFonts w:ascii="Corbel" w:hAnsi="Corbel" w:cs="Arial"/>
          <w:sz w:val="22"/>
          <w:szCs w:val="22"/>
          <w:lang w:val="en-GB"/>
        </w:rPr>
        <w:t xml:space="preserve"> frequent adjustments to </w:t>
      </w:r>
      <w:r w:rsidR="002A308F">
        <w:rPr>
          <w:rFonts w:ascii="Corbel" w:hAnsi="Corbel" w:cs="Arial"/>
          <w:sz w:val="22"/>
          <w:szCs w:val="22"/>
          <w:lang w:val="en-GB"/>
        </w:rPr>
        <w:t xml:space="preserve">the </w:t>
      </w:r>
      <w:r w:rsidR="001A10D8" w:rsidRPr="00DC6ED5">
        <w:rPr>
          <w:rFonts w:ascii="Corbel" w:hAnsi="Corbel" w:cs="Arial"/>
          <w:sz w:val="22"/>
          <w:szCs w:val="22"/>
          <w:lang w:val="en-GB"/>
        </w:rPr>
        <w:t xml:space="preserve">thematic design of project activities. </w:t>
      </w:r>
      <w:r w:rsidR="00297712">
        <w:rPr>
          <w:rFonts w:ascii="Corbel" w:hAnsi="Corbel" w:cs="Arial"/>
          <w:sz w:val="22"/>
          <w:szCs w:val="22"/>
          <w:lang w:val="en-GB"/>
        </w:rPr>
        <w:t xml:space="preserve">While this caused delays and </w:t>
      </w:r>
      <w:r w:rsidR="00600562">
        <w:rPr>
          <w:rFonts w:ascii="Corbel" w:hAnsi="Corbel" w:cs="Arial"/>
          <w:sz w:val="22"/>
          <w:szCs w:val="22"/>
          <w:lang w:val="en-GB"/>
        </w:rPr>
        <w:t xml:space="preserve">only partial achievement of planned results, </w:t>
      </w:r>
      <w:r w:rsidR="006107D0">
        <w:rPr>
          <w:rFonts w:ascii="Corbel" w:hAnsi="Corbel" w:cs="Arial"/>
          <w:sz w:val="22"/>
          <w:szCs w:val="22"/>
          <w:lang w:val="en-GB"/>
        </w:rPr>
        <w:t xml:space="preserve">it also allowed </w:t>
      </w:r>
      <w:r w:rsidR="00801505">
        <w:rPr>
          <w:rFonts w:ascii="Corbel" w:hAnsi="Corbel" w:cs="Arial"/>
          <w:sz w:val="22"/>
          <w:szCs w:val="22"/>
          <w:lang w:val="en-GB"/>
        </w:rPr>
        <w:t>exploiting</w:t>
      </w:r>
      <w:r w:rsidR="006D6AEB">
        <w:rPr>
          <w:rFonts w:ascii="Corbel" w:hAnsi="Corbel" w:cs="Arial"/>
          <w:sz w:val="22"/>
          <w:szCs w:val="22"/>
          <w:lang w:val="en-GB"/>
        </w:rPr>
        <w:t xml:space="preserve"> unexpected opportunities</w:t>
      </w:r>
      <w:r w:rsidR="001A10D8" w:rsidRPr="00DC6ED5">
        <w:rPr>
          <w:rFonts w:ascii="Corbel" w:hAnsi="Corbel" w:cs="Arial"/>
          <w:sz w:val="22"/>
          <w:szCs w:val="22"/>
          <w:lang w:val="en-GB"/>
        </w:rPr>
        <w:t>.</w:t>
      </w:r>
      <w:r w:rsidR="00D57241">
        <w:rPr>
          <w:rFonts w:ascii="Corbel" w:hAnsi="Corbel" w:cs="Arial"/>
          <w:sz w:val="22"/>
          <w:szCs w:val="22"/>
          <w:lang w:val="en-GB"/>
        </w:rPr>
        <w:t xml:space="preserve"> With the intent to </w:t>
      </w:r>
      <w:r w:rsidR="00801505">
        <w:rPr>
          <w:rFonts w:ascii="Corbel" w:hAnsi="Corbel" w:cs="Arial"/>
          <w:sz w:val="22"/>
          <w:szCs w:val="22"/>
          <w:lang w:val="en-GB"/>
        </w:rPr>
        <w:t>continue</w:t>
      </w:r>
      <w:r w:rsidR="00D57241">
        <w:rPr>
          <w:rFonts w:ascii="Corbel" w:hAnsi="Corbel" w:cs="Arial"/>
          <w:sz w:val="22"/>
          <w:szCs w:val="22"/>
          <w:lang w:val="en-GB"/>
        </w:rPr>
        <w:t xml:space="preserve"> promoting the enhancement of trade regulation for </w:t>
      </w:r>
      <w:r w:rsidR="00043942">
        <w:rPr>
          <w:rFonts w:ascii="Corbel" w:hAnsi="Corbel" w:cs="Arial"/>
          <w:sz w:val="22"/>
          <w:szCs w:val="22"/>
          <w:lang w:val="en-GB"/>
        </w:rPr>
        <w:t xml:space="preserve">better integration in regional and global markets, it is </w:t>
      </w:r>
      <w:r w:rsidR="00DC00C7">
        <w:rPr>
          <w:rFonts w:ascii="Corbel" w:hAnsi="Corbel" w:cs="Arial"/>
          <w:sz w:val="22"/>
          <w:szCs w:val="22"/>
          <w:lang w:val="en-GB"/>
        </w:rPr>
        <w:t>advisable</w:t>
      </w:r>
      <w:r w:rsidR="00043942">
        <w:rPr>
          <w:rFonts w:ascii="Corbel" w:hAnsi="Corbel" w:cs="Arial"/>
          <w:sz w:val="22"/>
          <w:szCs w:val="22"/>
          <w:lang w:val="en-GB"/>
        </w:rPr>
        <w:t xml:space="preserve"> to leverage </w:t>
      </w:r>
      <w:r w:rsidR="00DC00C7">
        <w:rPr>
          <w:rFonts w:ascii="Corbel" w:hAnsi="Corbel" w:cs="Arial"/>
          <w:sz w:val="22"/>
          <w:szCs w:val="22"/>
          <w:lang w:val="en-GB"/>
        </w:rPr>
        <w:t>the emerging commitment and political will (</w:t>
      </w:r>
      <w:r w:rsidR="00321D11">
        <w:rPr>
          <w:rFonts w:ascii="Corbel" w:hAnsi="Corbel" w:cs="Arial"/>
          <w:sz w:val="22"/>
          <w:szCs w:val="22"/>
          <w:lang w:val="en-GB"/>
        </w:rPr>
        <w:t>e.g.,</w:t>
      </w:r>
      <w:r w:rsidR="00DC00C7">
        <w:rPr>
          <w:rFonts w:ascii="Corbel" w:hAnsi="Corbel" w:cs="Arial"/>
          <w:sz w:val="22"/>
          <w:szCs w:val="22"/>
          <w:lang w:val="en-GB"/>
        </w:rPr>
        <w:t xml:space="preserve"> as in the case of </w:t>
      </w:r>
      <w:r w:rsidR="00B346A1">
        <w:rPr>
          <w:rFonts w:ascii="Corbel" w:hAnsi="Corbel" w:cs="Arial"/>
          <w:sz w:val="22"/>
          <w:szCs w:val="22"/>
          <w:lang w:val="en-GB"/>
        </w:rPr>
        <w:t xml:space="preserve">the Jordanian authorities) to showcase benefits to other </w:t>
      </w:r>
      <w:r w:rsidR="00D40195">
        <w:rPr>
          <w:rFonts w:ascii="Corbel" w:hAnsi="Corbel" w:cs="Arial"/>
          <w:sz w:val="22"/>
          <w:szCs w:val="22"/>
          <w:lang w:val="en-GB"/>
        </w:rPr>
        <w:t xml:space="preserve">interested member states and stakeholders. </w:t>
      </w:r>
    </w:p>
    <w:p w14:paraId="4B988D4D" w14:textId="2B80E245" w:rsidR="00F34A70" w:rsidRPr="00DC6ED5" w:rsidRDefault="00A66FB4" w:rsidP="007F4A98">
      <w:pPr>
        <w:pStyle w:val="ListParagraph"/>
        <w:spacing w:before="120" w:after="120" w:line="300" w:lineRule="exact"/>
        <w:ind w:left="0"/>
        <w:contextualSpacing w:val="0"/>
        <w:jc w:val="both"/>
        <w:rPr>
          <w:rFonts w:ascii="Corbel" w:hAnsi="Corbel" w:cs="Arial"/>
          <w:sz w:val="22"/>
          <w:szCs w:val="22"/>
          <w:lang w:val="en-GB"/>
        </w:rPr>
      </w:pPr>
      <w:r>
        <w:rPr>
          <w:rFonts w:ascii="Corbel" w:hAnsi="Corbel" w:cs="Arial"/>
          <w:sz w:val="22"/>
          <w:szCs w:val="22"/>
          <w:u w:val="single"/>
          <w:lang w:val="en-GB"/>
        </w:rPr>
        <w:t>Lesson Learned</w:t>
      </w:r>
      <w:r w:rsidR="00DD3F86" w:rsidRPr="00DC6ED5">
        <w:rPr>
          <w:rFonts w:ascii="Corbel" w:hAnsi="Corbel" w:cs="Arial"/>
          <w:sz w:val="22"/>
          <w:szCs w:val="22"/>
          <w:u w:val="single"/>
          <w:lang w:val="en-GB"/>
        </w:rPr>
        <w:t xml:space="preserve"> </w:t>
      </w:r>
      <w:r w:rsidR="00D55FF0">
        <w:rPr>
          <w:rFonts w:ascii="Corbel" w:hAnsi="Corbel" w:cs="Arial"/>
          <w:sz w:val="22"/>
          <w:szCs w:val="22"/>
          <w:u w:val="single"/>
          <w:lang w:val="en-GB"/>
        </w:rPr>
        <w:t>3</w:t>
      </w:r>
      <w:r w:rsidR="00DD3F86" w:rsidRPr="00DC6ED5">
        <w:rPr>
          <w:rFonts w:ascii="Corbel" w:hAnsi="Corbel" w:cs="Arial"/>
          <w:sz w:val="22"/>
          <w:szCs w:val="22"/>
          <w:lang w:val="en-GB"/>
        </w:rPr>
        <w:t xml:space="preserve">: </w:t>
      </w:r>
      <w:r w:rsidR="007A04A3">
        <w:rPr>
          <w:rFonts w:ascii="Corbel" w:hAnsi="Corbel" w:cs="Arial"/>
          <w:sz w:val="22"/>
          <w:szCs w:val="22"/>
          <w:lang w:val="en-GB"/>
        </w:rPr>
        <w:t>T</w:t>
      </w:r>
      <w:r w:rsidR="00F34A70" w:rsidRPr="00DC6ED5">
        <w:rPr>
          <w:rFonts w:ascii="Corbel" w:hAnsi="Corbel" w:cs="Arial"/>
          <w:sz w:val="22"/>
          <w:szCs w:val="22"/>
          <w:lang w:val="en-GB"/>
        </w:rPr>
        <w:t>he development of trade policies and the readiness to be a part of the regional trade environment</w:t>
      </w:r>
      <w:r w:rsidR="007A04A3" w:rsidRPr="007A04A3">
        <w:rPr>
          <w:rFonts w:ascii="Corbel" w:hAnsi="Corbel" w:cs="Arial"/>
          <w:sz w:val="22"/>
          <w:szCs w:val="22"/>
          <w:lang w:val="en-GB"/>
        </w:rPr>
        <w:t xml:space="preserve"> </w:t>
      </w:r>
      <w:r w:rsidR="006F204B">
        <w:rPr>
          <w:rFonts w:ascii="Corbel" w:hAnsi="Corbel" w:cs="Arial"/>
          <w:sz w:val="22"/>
          <w:szCs w:val="22"/>
          <w:lang w:val="en-GB"/>
        </w:rPr>
        <w:t xml:space="preserve">is significantly uneven </w:t>
      </w:r>
      <w:r w:rsidR="007A04A3" w:rsidRPr="00DC6ED5">
        <w:rPr>
          <w:rFonts w:ascii="Corbel" w:hAnsi="Corbel" w:cs="Arial"/>
          <w:sz w:val="22"/>
          <w:szCs w:val="22"/>
          <w:lang w:val="en-GB"/>
        </w:rPr>
        <w:t>among</w:t>
      </w:r>
      <w:r w:rsidR="006F204B">
        <w:rPr>
          <w:rFonts w:ascii="Corbel" w:hAnsi="Corbel" w:cs="Arial"/>
          <w:sz w:val="22"/>
          <w:szCs w:val="22"/>
          <w:lang w:val="en-GB"/>
        </w:rPr>
        <w:t xml:space="preserve"> the</w:t>
      </w:r>
      <w:r w:rsidR="007A04A3" w:rsidRPr="00DC6ED5">
        <w:rPr>
          <w:rFonts w:ascii="Corbel" w:hAnsi="Corbel" w:cs="Arial"/>
          <w:sz w:val="22"/>
          <w:szCs w:val="22"/>
          <w:lang w:val="en-GB"/>
        </w:rPr>
        <w:t xml:space="preserve"> 17 PAFTA countries</w:t>
      </w:r>
      <w:r w:rsidR="00F34A70" w:rsidRPr="00DC6ED5">
        <w:rPr>
          <w:rFonts w:ascii="Corbel" w:hAnsi="Corbel" w:cs="Arial"/>
          <w:sz w:val="22"/>
          <w:szCs w:val="22"/>
          <w:lang w:val="en-GB"/>
        </w:rPr>
        <w:t xml:space="preserve">. Several countries are not </w:t>
      </w:r>
      <w:r w:rsidR="00C705FA">
        <w:rPr>
          <w:rFonts w:ascii="Corbel" w:hAnsi="Corbel" w:cs="Arial"/>
          <w:sz w:val="22"/>
          <w:szCs w:val="22"/>
          <w:lang w:val="en-GB"/>
        </w:rPr>
        <w:t xml:space="preserve">yet </w:t>
      </w:r>
      <w:r w:rsidR="00F34A70" w:rsidRPr="00DC6ED5">
        <w:rPr>
          <w:rFonts w:ascii="Corbel" w:hAnsi="Corbel" w:cs="Arial"/>
          <w:sz w:val="22"/>
          <w:szCs w:val="22"/>
          <w:lang w:val="en-GB"/>
        </w:rPr>
        <w:t>WTO members</w:t>
      </w:r>
      <w:r w:rsidR="00C705FA">
        <w:rPr>
          <w:rFonts w:ascii="Corbel" w:hAnsi="Corbel" w:cs="Arial"/>
          <w:sz w:val="22"/>
          <w:szCs w:val="22"/>
          <w:lang w:val="en-GB"/>
        </w:rPr>
        <w:t>,</w:t>
      </w:r>
      <w:r w:rsidR="00F34A70" w:rsidRPr="00DC6ED5">
        <w:rPr>
          <w:rFonts w:ascii="Corbel" w:hAnsi="Corbel" w:cs="Arial"/>
          <w:sz w:val="22"/>
          <w:szCs w:val="22"/>
          <w:lang w:val="en-GB"/>
        </w:rPr>
        <w:t xml:space="preserve"> </w:t>
      </w:r>
      <w:r w:rsidR="00C705FA">
        <w:rPr>
          <w:rFonts w:ascii="Corbel" w:hAnsi="Corbel" w:cs="Arial"/>
          <w:sz w:val="22"/>
          <w:szCs w:val="22"/>
          <w:lang w:val="en-GB"/>
        </w:rPr>
        <w:t>therefore</w:t>
      </w:r>
      <w:r w:rsidR="00F34A70" w:rsidRPr="00DC6ED5">
        <w:rPr>
          <w:rFonts w:ascii="Corbel" w:hAnsi="Corbel" w:cs="Arial"/>
          <w:sz w:val="22"/>
          <w:szCs w:val="22"/>
          <w:lang w:val="en-GB"/>
        </w:rPr>
        <w:t xml:space="preserve"> they tend to limit the</w:t>
      </w:r>
      <w:r w:rsidR="00C705FA">
        <w:rPr>
          <w:rFonts w:ascii="Corbel" w:hAnsi="Corbel" w:cs="Arial"/>
          <w:sz w:val="22"/>
          <w:szCs w:val="22"/>
          <w:lang w:val="en-GB"/>
        </w:rPr>
        <w:t>ir</w:t>
      </w:r>
      <w:r w:rsidR="00F34A70" w:rsidRPr="00DC6ED5">
        <w:rPr>
          <w:rFonts w:ascii="Corbel" w:hAnsi="Corbel" w:cs="Arial"/>
          <w:sz w:val="22"/>
          <w:szCs w:val="22"/>
          <w:lang w:val="en-GB"/>
        </w:rPr>
        <w:t xml:space="preserve"> level of commitment </w:t>
      </w:r>
      <w:r w:rsidR="00DD0D8F">
        <w:rPr>
          <w:rFonts w:ascii="Corbel" w:hAnsi="Corbel" w:cs="Arial"/>
          <w:sz w:val="22"/>
          <w:szCs w:val="22"/>
          <w:lang w:val="en-GB"/>
        </w:rPr>
        <w:t>during</w:t>
      </w:r>
      <w:r w:rsidR="00F34A70" w:rsidRPr="00DC6ED5">
        <w:rPr>
          <w:rFonts w:ascii="Corbel" w:hAnsi="Corbel" w:cs="Arial"/>
          <w:sz w:val="22"/>
          <w:szCs w:val="22"/>
          <w:lang w:val="en-GB"/>
        </w:rPr>
        <w:t xml:space="preserve"> negotiations.</w:t>
      </w:r>
      <w:r w:rsidR="00DD0D8F">
        <w:rPr>
          <w:rFonts w:ascii="Corbel" w:hAnsi="Corbel" w:cs="Arial"/>
          <w:sz w:val="22"/>
          <w:szCs w:val="22"/>
          <w:lang w:val="en-GB"/>
        </w:rPr>
        <w:t xml:space="preserve"> It is critical to </w:t>
      </w:r>
      <w:r w:rsidR="00E25B63">
        <w:rPr>
          <w:rFonts w:ascii="Corbel" w:hAnsi="Corbel" w:cs="Arial"/>
          <w:sz w:val="22"/>
          <w:szCs w:val="22"/>
          <w:lang w:val="en-GB"/>
        </w:rPr>
        <w:t xml:space="preserve">provide additional support to countries that are </w:t>
      </w:r>
      <w:r w:rsidR="00321D11">
        <w:rPr>
          <w:rFonts w:ascii="Corbel" w:hAnsi="Corbel" w:cs="Arial"/>
          <w:sz w:val="22"/>
          <w:szCs w:val="22"/>
          <w:lang w:val="en-GB"/>
        </w:rPr>
        <w:t>lagging</w:t>
      </w:r>
      <w:r w:rsidR="00C01EA6">
        <w:rPr>
          <w:rFonts w:ascii="Corbel" w:hAnsi="Corbel" w:cs="Arial"/>
          <w:sz w:val="22"/>
          <w:szCs w:val="22"/>
          <w:lang w:val="en-GB"/>
        </w:rPr>
        <w:t xml:space="preserve"> when they demonstrate </w:t>
      </w:r>
      <w:r w:rsidR="00801505">
        <w:rPr>
          <w:rFonts w:ascii="Corbel" w:hAnsi="Corbel" w:cs="Arial"/>
          <w:sz w:val="22"/>
          <w:szCs w:val="22"/>
          <w:lang w:val="en-GB"/>
        </w:rPr>
        <w:t xml:space="preserve">the </w:t>
      </w:r>
      <w:r w:rsidR="00C01EA6">
        <w:rPr>
          <w:rFonts w:ascii="Corbel" w:hAnsi="Corbel" w:cs="Arial"/>
          <w:sz w:val="22"/>
          <w:szCs w:val="22"/>
          <w:lang w:val="en-GB"/>
        </w:rPr>
        <w:t>political will to close the gap</w:t>
      </w:r>
      <w:r w:rsidR="00E25B63">
        <w:rPr>
          <w:rFonts w:ascii="Corbel" w:hAnsi="Corbel" w:cs="Arial"/>
          <w:sz w:val="22"/>
          <w:szCs w:val="22"/>
          <w:lang w:val="en-GB"/>
        </w:rPr>
        <w:t xml:space="preserve">, including </w:t>
      </w:r>
      <w:r w:rsidR="00C01EA6">
        <w:rPr>
          <w:rFonts w:ascii="Corbel" w:hAnsi="Corbel" w:cs="Arial"/>
          <w:sz w:val="22"/>
          <w:szCs w:val="22"/>
          <w:lang w:val="en-GB"/>
        </w:rPr>
        <w:t xml:space="preserve">by </w:t>
      </w:r>
      <w:r w:rsidR="00E25B63">
        <w:rPr>
          <w:rFonts w:ascii="Corbel" w:hAnsi="Corbel" w:cs="Arial"/>
          <w:sz w:val="22"/>
          <w:szCs w:val="22"/>
          <w:lang w:val="en-GB"/>
        </w:rPr>
        <w:t xml:space="preserve">fostering their </w:t>
      </w:r>
      <w:r w:rsidR="00230860">
        <w:rPr>
          <w:rFonts w:ascii="Corbel" w:hAnsi="Corbel" w:cs="Arial"/>
          <w:sz w:val="22"/>
          <w:szCs w:val="22"/>
          <w:lang w:val="en-GB"/>
        </w:rPr>
        <w:t>membership in international trade agreements and frameworks beyond PAFTA</w:t>
      </w:r>
      <w:r w:rsidR="00C01EA6">
        <w:rPr>
          <w:rFonts w:ascii="Corbel" w:hAnsi="Corbel" w:cs="Arial"/>
          <w:sz w:val="22"/>
          <w:szCs w:val="22"/>
          <w:lang w:val="en-GB"/>
        </w:rPr>
        <w:t>.</w:t>
      </w:r>
    </w:p>
    <w:p w14:paraId="1D860E92" w14:textId="5ADCF781" w:rsidR="00B22E04" w:rsidRDefault="005645AD" w:rsidP="4F6DD0A6">
      <w:pPr>
        <w:pStyle w:val="ListParagraph"/>
        <w:spacing w:before="120" w:after="120" w:line="300" w:lineRule="exact"/>
        <w:ind w:left="0"/>
        <w:jc w:val="both"/>
        <w:rPr>
          <w:rFonts w:ascii="Corbel" w:hAnsi="Corbel" w:cs="Arial"/>
          <w:sz w:val="22"/>
          <w:szCs w:val="22"/>
          <w:lang w:val="en-GB"/>
        </w:rPr>
      </w:pPr>
      <w:r w:rsidRPr="4F6DD0A6">
        <w:rPr>
          <w:rFonts w:ascii="Corbel" w:hAnsi="Corbel" w:cs="Arial"/>
          <w:sz w:val="22"/>
          <w:szCs w:val="22"/>
          <w:u w:val="single"/>
          <w:lang w:val="en-GB"/>
        </w:rPr>
        <w:t xml:space="preserve">Lesson Learned </w:t>
      </w:r>
      <w:r w:rsidR="00D55FF0" w:rsidRPr="4F6DD0A6">
        <w:rPr>
          <w:rFonts w:ascii="Corbel" w:hAnsi="Corbel" w:cs="Arial"/>
          <w:sz w:val="22"/>
          <w:szCs w:val="22"/>
          <w:u w:val="single"/>
          <w:lang w:val="en-GB"/>
        </w:rPr>
        <w:t>4</w:t>
      </w:r>
      <w:r w:rsidR="00DC6ED5" w:rsidRPr="4F6DD0A6">
        <w:rPr>
          <w:rFonts w:ascii="Corbel" w:hAnsi="Corbel" w:cs="Arial"/>
          <w:sz w:val="22"/>
          <w:szCs w:val="22"/>
          <w:lang w:val="en-GB"/>
        </w:rPr>
        <w:t>:</w:t>
      </w:r>
      <w:r w:rsidR="005D3377" w:rsidRPr="4F6DD0A6">
        <w:rPr>
          <w:rFonts w:ascii="Corbel" w:hAnsi="Corbel" w:cs="Arial"/>
          <w:sz w:val="22"/>
          <w:szCs w:val="22"/>
          <w:lang w:val="en-GB"/>
        </w:rPr>
        <w:t xml:space="preserve"> </w:t>
      </w:r>
      <w:r w:rsidR="00004D49" w:rsidRPr="4F6DD0A6">
        <w:rPr>
          <w:rFonts w:ascii="Corbel" w:hAnsi="Corbel" w:cs="Arial"/>
          <w:sz w:val="22"/>
          <w:szCs w:val="22"/>
          <w:lang w:val="en-GB"/>
        </w:rPr>
        <w:t xml:space="preserve">Small and medium enterprises represent </w:t>
      </w:r>
      <w:proofErr w:type="gramStart"/>
      <w:r w:rsidR="00004D49" w:rsidRPr="4F6DD0A6">
        <w:rPr>
          <w:rFonts w:ascii="Corbel" w:hAnsi="Corbel" w:cs="Arial"/>
          <w:sz w:val="22"/>
          <w:szCs w:val="22"/>
          <w:lang w:val="en-GB"/>
        </w:rPr>
        <w:t>the majority of</w:t>
      </w:r>
      <w:proofErr w:type="gramEnd"/>
      <w:r w:rsidR="00004D49" w:rsidRPr="4F6DD0A6">
        <w:rPr>
          <w:rFonts w:ascii="Corbel" w:hAnsi="Corbel" w:cs="Arial"/>
          <w:sz w:val="22"/>
          <w:szCs w:val="22"/>
          <w:lang w:val="en-GB"/>
        </w:rPr>
        <w:t xml:space="preserve"> private business operators in Arab countries. Their awareness of and </w:t>
      </w:r>
      <w:r w:rsidR="005D3377" w:rsidRPr="4F6DD0A6">
        <w:rPr>
          <w:rFonts w:ascii="Corbel" w:hAnsi="Corbel" w:cs="Arial"/>
          <w:sz w:val="22"/>
          <w:szCs w:val="22"/>
          <w:lang w:val="en-GB"/>
        </w:rPr>
        <w:t xml:space="preserve">capacity to capitalize on </w:t>
      </w:r>
      <w:r w:rsidR="00004D49" w:rsidRPr="4F6DD0A6">
        <w:rPr>
          <w:rFonts w:ascii="Corbel" w:hAnsi="Corbel" w:cs="Arial"/>
          <w:sz w:val="22"/>
          <w:szCs w:val="22"/>
          <w:lang w:val="en-GB"/>
        </w:rPr>
        <w:t xml:space="preserve">the </w:t>
      </w:r>
      <w:r w:rsidR="005D3377" w:rsidRPr="4F6DD0A6">
        <w:rPr>
          <w:rFonts w:ascii="Corbel" w:hAnsi="Corbel" w:cs="Arial"/>
          <w:sz w:val="22"/>
          <w:szCs w:val="22"/>
          <w:lang w:val="en-GB"/>
        </w:rPr>
        <w:t xml:space="preserve">new business opportunities </w:t>
      </w:r>
      <w:r w:rsidR="00CE304B" w:rsidRPr="4F6DD0A6">
        <w:rPr>
          <w:rFonts w:ascii="Corbel" w:hAnsi="Corbel" w:cs="Arial"/>
          <w:sz w:val="22"/>
          <w:szCs w:val="22"/>
          <w:lang w:val="en-GB"/>
        </w:rPr>
        <w:t>offered by</w:t>
      </w:r>
      <w:r w:rsidR="005D3377" w:rsidRPr="4F6DD0A6">
        <w:rPr>
          <w:rFonts w:ascii="Corbel" w:hAnsi="Corbel" w:cs="Arial"/>
          <w:sz w:val="22"/>
          <w:szCs w:val="22"/>
          <w:lang w:val="en-GB"/>
        </w:rPr>
        <w:t xml:space="preserve"> regional economic integration </w:t>
      </w:r>
      <w:r w:rsidR="00CE304B" w:rsidRPr="4F6DD0A6">
        <w:rPr>
          <w:rFonts w:ascii="Corbel" w:hAnsi="Corbel" w:cs="Arial"/>
          <w:sz w:val="22"/>
          <w:szCs w:val="22"/>
          <w:lang w:val="en-GB"/>
        </w:rPr>
        <w:t xml:space="preserve">is weak. </w:t>
      </w:r>
      <w:r w:rsidR="00655919" w:rsidRPr="4F6DD0A6">
        <w:rPr>
          <w:rFonts w:ascii="Corbel" w:hAnsi="Corbel" w:cs="Arial"/>
          <w:sz w:val="22"/>
          <w:szCs w:val="22"/>
          <w:lang w:val="en-GB"/>
        </w:rPr>
        <w:t>Bottom-up</w:t>
      </w:r>
      <w:r w:rsidR="003528A2" w:rsidRPr="4F6DD0A6">
        <w:rPr>
          <w:rFonts w:ascii="Corbel" w:hAnsi="Corbel" w:cs="Arial"/>
          <w:sz w:val="22"/>
          <w:szCs w:val="22"/>
          <w:lang w:val="en-GB"/>
        </w:rPr>
        <w:t xml:space="preserve"> initiative to s</w:t>
      </w:r>
      <w:r w:rsidR="005D3377" w:rsidRPr="4F6DD0A6">
        <w:rPr>
          <w:rFonts w:ascii="Corbel" w:hAnsi="Corbel" w:cs="Arial"/>
          <w:sz w:val="22"/>
          <w:szCs w:val="22"/>
          <w:lang w:val="en-GB"/>
        </w:rPr>
        <w:t xml:space="preserve">trengthen the business sector knowledge of trade policies </w:t>
      </w:r>
      <w:r w:rsidR="00867C07" w:rsidRPr="4F6DD0A6">
        <w:rPr>
          <w:rFonts w:ascii="Corbel" w:hAnsi="Corbel" w:cs="Arial"/>
          <w:sz w:val="22"/>
          <w:szCs w:val="22"/>
          <w:lang w:val="en-GB"/>
        </w:rPr>
        <w:t xml:space="preserve">and direct support to navigate the </w:t>
      </w:r>
      <w:r w:rsidR="00655919" w:rsidRPr="4F6DD0A6">
        <w:rPr>
          <w:rFonts w:ascii="Corbel" w:hAnsi="Corbel" w:cs="Arial"/>
          <w:sz w:val="22"/>
          <w:szCs w:val="22"/>
          <w:lang w:val="en-GB"/>
        </w:rPr>
        <w:t>often-cumbersome</w:t>
      </w:r>
      <w:r w:rsidR="00867C07" w:rsidRPr="4F6DD0A6">
        <w:rPr>
          <w:rFonts w:ascii="Corbel" w:hAnsi="Corbel" w:cs="Arial"/>
          <w:sz w:val="22"/>
          <w:szCs w:val="22"/>
          <w:lang w:val="en-GB"/>
        </w:rPr>
        <w:t xml:space="preserve"> procedures to access external markets </w:t>
      </w:r>
      <w:r w:rsidR="00476DC6" w:rsidRPr="4F6DD0A6">
        <w:rPr>
          <w:rFonts w:ascii="Corbel" w:hAnsi="Corbel" w:cs="Arial"/>
          <w:sz w:val="22"/>
          <w:szCs w:val="22"/>
          <w:lang w:val="en-GB"/>
        </w:rPr>
        <w:t xml:space="preserve">should be a key component of initiatives aimed at promoting regional integration. </w:t>
      </w:r>
      <w:r w:rsidR="00E00709" w:rsidRPr="4F6DD0A6">
        <w:rPr>
          <w:rFonts w:ascii="Corbel" w:hAnsi="Corbel" w:cs="Arial"/>
          <w:sz w:val="22"/>
          <w:szCs w:val="22"/>
          <w:lang w:val="en-GB"/>
        </w:rPr>
        <w:t xml:space="preserve">A focus on the downstream operator could also trigger demand for policy reform at the upstream level </w:t>
      </w:r>
      <w:r w:rsidR="00F51B65" w:rsidRPr="4F6DD0A6">
        <w:rPr>
          <w:rFonts w:ascii="Corbel" w:hAnsi="Corbel" w:cs="Arial"/>
          <w:sz w:val="22"/>
          <w:szCs w:val="22"/>
          <w:lang w:val="en-GB"/>
        </w:rPr>
        <w:t xml:space="preserve">and contribute to the consolidation </w:t>
      </w:r>
      <w:r w:rsidR="00F51B65" w:rsidRPr="4F6DD0A6">
        <w:rPr>
          <w:rFonts w:ascii="Corbel" w:hAnsi="Corbel" w:cs="Arial"/>
          <w:sz w:val="22"/>
          <w:szCs w:val="22"/>
          <w:lang w:val="en-GB"/>
        </w:rPr>
        <w:lastRenderedPageBreak/>
        <w:t>of the necessary political will</w:t>
      </w:r>
      <w:r w:rsidR="00B22E04" w:rsidRPr="4F6DD0A6">
        <w:rPr>
          <w:rFonts w:ascii="Corbel" w:hAnsi="Corbel" w:cs="Arial"/>
          <w:sz w:val="22"/>
          <w:szCs w:val="22"/>
          <w:lang w:val="en-GB"/>
        </w:rPr>
        <w:t xml:space="preserve">. </w:t>
      </w:r>
      <w:r w:rsidR="0007788C" w:rsidRPr="4F6DD0A6">
        <w:rPr>
          <w:rFonts w:ascii="Corbel" w:hAnsi="Corbel" w:cs="Arial"/>
          <w:sz w:val="22"/>
          <w:szCs w:val="22"/>
          <w:lang w:val="en-GB"/>
        </w:rPr>
        <w:t>Working with users of trade services – for example, SMEs – or institutions that provide these services could help showcase impact in the short-term and eventually inform longer-term trade reform processes. This type of downstream approaches needs to be implemented with adequate planning and precautions to ensure no harm is done, including securing sustainable funding.</w:t>
      </w:r>
    </w:p>
    <w:p w14:paraId="58CEAA65" w14:textId="2FBE06C8" w:rsidR="00927223" w:rsidRPr="00927223" w:rsidRDefault="00070101" w:rsidP="006F6CC7">
      <w:pPr>
        <w:spacing w:before="120" w:after="120" w:line="300" w:lineRule="exact"/>
        <w:jc w:val="both"/>
        <w:rPr>
          <w:rFonts w:ascii="Corbel" w:hAnsi="Corbel" w:cs="Arial"/>
          <w:sz w:val="22"/>
          <w:szCs w:val="22"/>
          <w:lang w:val="en-GB"/>
        </w:rPr>
      </w:pPr>
      <w:r w:rsidRPr="00315BE2">
        <w:rPr>
          <w:rFonts w:ascii="Corbel" w:hAnsi="Corbel" w:cs="Arial"/>
          <w:sz w:val="22"/>
          <w:szCs w:val="22"/>
          <w:u w:val="single"/>
          <w:lang w:val="en-GB"/>
        </w:rPr>
        <w:t>Lessons learned 5</w:t>
      </w:r>
      <w:r>
        <w:rPr>
          <w:rFonts w:ascii="Corbel" w:hAnsi="Corbel" w:cs="Arial"/>
          <w:sz w:val="22"/>
          <w:szCs w:val="22"/>
          <w:lang w:val="en-GB"/>
        </w:rPr>
        <w:t xml:space="preserve">: </w:t>
      </w:r>
      <w:r w:rsidR="00927223" w:rsidRPr="00315BE2">
        <w:rPr>
          <w:rFonts w:ascii="Corbel" w:hAnsi="Corbel" w:cs="Arial"/>
          <w:sz w:val="22"/>
          <w:szCs w:val="22"/>
          <w:lang w:val="en-GB"/>
        </w:rPr>
        <w:t xml:space="preserve">The application of digital solutions to trade processes can be a low-hanging fruit to engage decision makers in policy reform processes that increase efficiency, reduce time and monetary transaction costs, while also enhancing transparency and responsiveness to public and private stakeholders. </w:t>
      </w:r>
    </w:p>
    <w:p w14:paraId="4DB9114F" w14:textId="56C84835" w:rsidR="00927223" w:rsidRPr="00D55FF0" w:rsidRDefault="006F6CC7" w:rsidP="00D55FF0">
      <w:pPr>
        <w:spacing w:before="120" w:after="120" w:line="300" w:lineRule="exact"/>
        <w:jc w:val="both"/>
        <w:rPr>
          <w:rFonts w:ascii="Corbel" w:hAnsi="Corbel" w:cs="Arial"/>
          <w:sz w:val="22"/>
          <w:szCs w:val="22"/>
          <w:lang w:val="en-GB"/>
        </w:rPr>
      </w:pPr>
      <w:r w:rsidRPr="006F6CC7">
        <w:rPr>
          <w:rFonts w:ascii="Corbel" w:hAnsi="Corbel" w:cs="Arial"/>
          <w:sz w:val="22"/>
          <w:szCs w:val="22"/>
          <w:u w:val="single"/>
          <w:lang w:val="en-GB"/>
        </w:rPr>
        <w:t>Lessons learned 6</w:t>
      </w:r>
      <w:r w:rsidRPr="006F6CC7">
        <w:rPr>
          <w:rFonts w:ascii="Corbel" w:hAnsi="Corbel" w:cs="Arial"/>
          <w:sz w:val="22"/>
          <w:szCs w:val="22"/>
          <w:lang w:val="en-GB"/>
        </w:rPr>
        <w:t xml:space="preserve">: </w:t>
      </w:r>
      <w:r w:rsidR="00927223" w:rsidRPr="006F6CC7">
        <w:rPr>
          <w:rFonts w:ascii="Corbel" w:hAnsi="Corbel" w:cs="Arial"/>
          <w:sz w:val="22"/>
          <w:szCs w:val="22"/>
          <w:lang w:val="en-GB"/>
        </w:rPr>
        <w:t>Gender mainstreaming cannot just be limited to increased female participation in training and workshops. The involvement of women entrepreneurs and stakeholders needs to be an integral part of the gender mainstreaming of all trade-related initiatives.</w:t>
      </w:r>
    </w:p>
    <w:p w14:paraId="583847E3" w14:textId="102FBDB1" w:rsidR="00D9698B" w:rsidRPr="00EF1F01" w:rsidRDefault="00FE7FB2" w:rsidP="00FE7FB2">
      <w:pPr>
        <w:pStyle w:val="Heading2"/>
        <w:rPr>
          <w:lang w:val="en-GB"/>
        </w:rPr>
      </w:pPr>
      <w:bookmarkStart w:id="218" w:name="_Toc103506749"/>
      <w:r>
        <w:rPr>
          <w:lang w:val="en-GB"/>
        </w:rPr>
        <w:t>R</w:t>
      </w:r>
      <w:r w:rsidRPr="00EF1F01">
        <w:rPr>
          <w:lang w:val="en-GB"/>
        </w:rPr>
        <w:t xml:space="preserve">ecommendations for </w:t>
      </w:r>
      <w:r>
        <w:rPr>
          <w:lang w:val="en-GB"/>
        </w:rPr>
        <w:t>F</w:t>
      </w:r>
      <w:r w:rsidRPr="00EF1F01">
        <w:rPr>
          <w:lang w:val="en-GB"/>
        </w:rPr>
        <w:t xml:space="preserve">uture </w:t>
      </w:r>
      <w:r>
        <w:rPr>
          <w:lang w:val="en-GB"/>
        </w:rPr>
        <w:t>A</w:t>
      </w:r>
      <w:r w:rsidRPr="00EF1F01">
        <w:rPr>
          <w:lang w:val="en-GB"/>
        </w:rPr>
        <w:t>ction</w:t>
      </w:r>
      <w:bookmarkEnd w:id="218"/>
    </w:p>
    <w:p w14:paraId="20E59C32" w14:textId="24EF63E4" w:rsidR="008C69E7" w:rsidRPr="00EF1F01" w:rsidRDefault="008C69E7" w:rsidP="002A76CD">
      <w:pPr>
        <w:spacing w:before="120" w:after="120" w:line="300" w:lineRule="exact"/>
        <w:jc w:val="both"/>
        <w:rPr>
          <w:rFonts w:ascii="Corbel" w:hAnsi="Corbel" w:cs="Arial"/>
          <w:sz w:val="22"/>
          <w:szCs w:val="22"/>
          <w:lang w:val="en-GB"/>
        </w:rPr>
      </w:pPr>
      <w:r w:rsidRPr="0095120B">
        <w:rPr>
          <w:rFonts w:ascii="Corbel" w:hAnsi="Corbel" w:cs="Arial"/>
          <w:sz w:val="22"/>
          <w:szCs w:val="22"/>
          <w:lang w:val="en-GB"/>
        </w:rPr>
        <w:t xml:space="preserve">UNDP </w:t>
      </w:r>
      <w:r w:rsidR="00004D74" w:rsidRPr="0095120B">
        <w:rPr>
          <w:rFonts w:ascii="Corbel" w:hAnsi="Corbel" w:cs="Arial"/>
          <w:sz w:val="22"/>
          <w:szCs w:val="22"/>
          <w:lang w:val="en-GB"/>
        </w:rPr>
        <w:t>strengthen</w:t>
      </w:r>
      <w:r w:rsidR="00675D2B">
        <w:rPr>
          <w:rFonts w:ascii="Corbel" w:hAnsi="Corbel" w:cs="Arial"/>
          <w:sz w:val="22"/>
          <w:szCs w:val="22"/>
          <w:lang w:val="en-GB"/>
        </w:rPr>
        <w:t>ed the</w:t>
      </w:r>
      <w:r w:rsidR="00004D74" w:rsidRPr="0095120B">
        <w:rPr>
          <w:rFonts w:ascii="Corbel" w:hAnsi="Corbel" w:cs="Arial"/>
          <w:sz w:val="22"/>
          <w:szCs w:val="22"/>
          <w:lang w:val="en-GB"/>
        </w:rPr>
        <w:t xml:space="preserve"> partnership with LAS Economic Sector</w:t>
      </w:r>
      <w:r w:rsidR="00D2019C" w:rsidRPr="0095120B">
        <w:rPr>
          <w:rFonts w:ascii="Corbel" w:hAnsi="Corbel" w:cs="Arial"/>
          <w:sz w:val="22"/>
          <w:szCs w:val="22"/>
          <w:lang w:val="en-GB"/>
        </w:rPr>
        <w:t xml:space="preserve"> and several Arab countries</w:t>
      </w:r>
      <w:r w:rsidR="00004D74" w:rsidRPr="0095120B">
        <w:rPr>
          <w:rFonts w:ascii="Corbel" w:hAnsi="Corbel" w:cs="Arial"/>
          <w:sz w:val="22"/>
          <w:szCs w:val="22"/>
          <w:lang w:val="en-GB"/>
        </w:rPr>
        <w:t xml:space="preserve"> to introduce </w:t>
      </w:r>
      <w:r w:rsidR="00AD630C">
        <w:rPr>
          <w:rFonts w:ascii="Corbel" w:hAnsi="Corbel" w:cs="Arial"/>
          <w:sz w:val="22"/>
          <w:szCs w:val="22"/>
          <w:lang w:val="en-GB"/>
        </w:rPr>
        <w:t>modern</w:t>
      </w:r>
      <w:r w:rsidR="00004D74" w:rsidRPr="0095120B">
        <w:rPr>
          <w:rFonts w:ascii="Corbel" w:hAnsi="Corbel" w:cs="Arial"/>
          <w:sz w:val="22"/>
          <w:szCs w:val="22"/>
          <w:lang w:val="en-GB"/>
        </w:rPr>
        <w:t xml:space="preserve"> trade policy measures and directions in deepening Arab economic </w:t>
      </w:r>
      <w:r w:rsidR="00AD630C">
        <w:rPr>
          <w:rFonts w:ascii="Corbel" w:hAnsi="Corbel" w:cs="Arial"/>
          <w:sz w:val="22"/>
          <w:szCs w:val="22"/>
          <w:lang w:val="en-GB"/>
        </w:rPr>
        <w:t>cooperation</w:t>
      </w:r>
      <w:r w:rsidR="00004D74" w:rsidRPr="0095120B">
        <w:rPr>
          <w:rFonts w:ascii="Corbel" w:hAnsi="Corbel" w:cs="Arial"/>
          <w:sz w:val="22"/>
          <w:szCs w:val="22"/>
          <w:lang w:val="en-GB"/>
        </w:rPr>
        <w:t>. Trade facilitation</w:t>
      </w:r>
      <w:r w:rsidR="006F1E24">
        <w:rPr>
          <w:rFonts w:ascii="Corbel" w:hAnsi="Corbel" w:cs="Arial"/>
          <w:sz w:val="22"/>
          <w:szCs w:val="22"/>
          <w:lang w:val="en-GB"/>
        </w:rPr>
        <w:t xml:space="preserve"> and</w:t>
      </w:r>
      <w:r w:rsidR="00004D74" w:rsidRPr="0095120B">
        <w:rPr>
          <w:rFonts w:ascii="Corbel" w:hAnsi="Corbel" w:cs="Arial"/>
          <w:sz w:val="22"/>
          <w:szCs w:val="22"/>
          <w:lang w:val="en-GB"/>
        </w:rPr>
        <w:t xml:space="preserve"> improving access </w:t>
      </w:r>
      <w:r w:rsidR="00F7755C" w:rsidRPr="0095120B">
        <w:rPr>
          <w:rFonts w:ascii="Corbel" w:hAnsi="Corbel" w:cs="Arial"/>
          <w:sz w:val="22"/>
          <w:szCs w:val="22"/>
          <w:lang w:val="en-GB"/>
        </w:rPr>
        <w:t>to new markets</w:t>
      </w:r>
      <w:r w:rsidR="00004D74" w:rsidRPr="0095120B">
        <w:rPr>
          <w:rFonts w:ascii="Corbel" w:hAnsi="Corbel" w:cs="Arial"/>
          <w:sz w:val="22"/>
          <w:szCs w:val="22"/>
          <w:lang w:val="en-GB"/>
        </w:rPr>
        <w:t xml:space="preserve">, particularly </w:t>
      </w:r>
      <w:r w:rsidR="00A51321" w:rsidRPr="0095120B">
        <w:rPr>
          <w:rFonts w:ascii="Corbel" w:hAnsi="Corbel" w:cs="Arial"/>
          <w:sz w:val="22"/>
          <w:szCs w:val="22"/>
          <w:lang w:val="en-GB"/>
        </w:rPr>
        <w:t xml:space="preserve">in </w:t>
      </w:r>
      <w:r w:rsidR="00004D74" w:rsidRPr="0095120B">
        <w:rPr>
          <w:rFonts w:ascii="Corbel" w:hAnsi="Corbel" w:cs="Arial"/>
          <w:sz w:val="22"/>
          <w:szCs w:val="22"/>
          <w:lang w:val="en-GB"/>
        </w:rPr>
        <w:t>Asia and Africa</w:t>
      </w:r>
      <w:r w:rsidR="00A51321" w:rsidRPr="0095120B">
        <w:rPr>
          <w:rFonts w:ascii="Corbel" w:hAnsi="Corbel" w:cs="Arial"/>
          <w:sz w:val="22"/>
          <w:szCs w:val="22"/>
          <w:lang w:val="en-GB"/>
        </w:rPr>
        <w:t>,</w:t>
      </w:r>
      <w:r w:rsidR="00004D74" w:rsidRPr="0095120B">
        <w:rPr>
          <w:rFonts w:ascii="Corbel" w:hAnsi="Corbel" w:cs="Arial"/>
          <w:sz w:val="22"/>
          <w:szCs w:val="22"/>
          <w:lang w:val="en-GB"/>
        </w:rPr>
        <w:t xml:space="preserve"> </w:t>
      </w:r>
      <w:r w:rsidR="001B3276">
        <w:rPr>
          <w:rFonts w:ascii="Corbel" w:hAnsi="Corbel" w:cs="Arial"/>
          <w:sz w:val="22"/>
          <w:szCs w:val="22"/>
          <w:lang w:val="en-GB"/>
        </w:rPr>
        <w:t>is</w:t>
      </w:r>
      <w:r w:rsidR="00A51321" w:rsidRPr="0095120B">
        <w:rPr>
          <w:rFonts w:ascii="Corbel" w:hAnsi="Corbel" w:cs="Arial"/>
          <w:sz w:val="22"/>
          <w:szCs w:val="22"/>
          <w:lang w:val="en-GB"/>
        </w:rPr>
        <w:t xml:space="preserve"> considered important</w:t>
      </w:r>
      <w:r w:rsidR="002A76CD" w:rsidRPr="0095120B">
        <w:rPr>
          <w:rFonts w:ascii="Corbel" w:hAnsi="Corbel" w:cs="Arial"/>
          <w:sz w:val="22"/>
          <w:szCs w:val="22"/>
          <w:lang w:val="en-GB"/>
        </w:rPr>
        <w:t xml:space="preserve"> by </w:t>
      </w:r>
      <w:r w:rsidR="00655919" w:rsidRPr="0095120B">
        <w:rPr>
          <w:rFonts w:ascii="Corbel" w:hAnsi="Corbel" w:cs="Arial"/>
          <w:sz w:val="22"/>
          <w:szCs w:val="22"/>
          <w:lang w:val="en-GB"/>
        </w:rPr>
        <w:t>most</w:t>
      </w:r>
      <w:r w:rsidR="002A76CD" w:rsidRPr="0095120B">
        <w:rPr>
          <w:rFonts w:ascii="Corbel" w:hAnsi="Corbel" w:cs="Arial"/>
          <w:sz w:val="22"/>
          <w:szCs w:val="22"/>
          <w:lang w:val="en-GB"/>
        </w:rPr>
        <w:t xml:space="preserve"> Arab policy makers</w:t>
      </w:r>
      <w:r w:rsidR="00004D74" w:rsidRPr="0095120B">
        <w:rPr>
          <w:rFonts w:ascii="Corbel" w:hAnsi="Corbel" w:cs="Arial"/>
          <w:sz w:val="22"/>
          <w:szCs w:val="22"/>
          <w:lang w:val="en-GB"/>
        </w:rPr>
        <w:t>.</w:t>
      </w:r>
      <w:r w:rsidR="002A76CD" w:rsidRPr="0095120B">
        <w:rPr>
          <w:rFonts w:ascii="Corbel" w:hAnsi="Corbel" w:cs="Arial"/>
          <w:sz w:val="22"/>
          <w:szCs w:val="22"/>
          <w:lang w:val="en-GB"/>
        </w:rPr>
        <w:t xml:space="preserve"> In this regard, tightening the partnership with LAS Economic Sector </w:t>
      </w:r>
      <w:r w:rsidR="00D2019C" w:rsidRPr="0095120B">
        <w:rPr>
          <w:rFonts w:ascii="Corbel" w:hAnsi="Corbel" w:cs="Arial"/>
          <w:sz w:val="22"/>
          <w:szCs w:val="22"/>
          <w:lang w:val="en-GB"/>
        </w:rPr>
        <w:t xml:space="preserve">while </w:t>
      </w:r>
      <w:r w:rsidR="00E055FD" w:rsidRPr="0095120B">
        <w:rPr>
          <w:rFonts w:ascii="Corbel" w:hAnsi="Corbel" w:cs="Arial"/>
          <w:sz w:val="22"/>
          <w:szCs w:val="22"/>
          <w:lang w:val="en-GB"/>
        </w:rPr>
        <w:t xml:space="preserve">expanding knowledge sharing through South-South exchanges and </w:t>
      </w:r>
      <w:r w:rsidR="002A76CD" w:rsidRPr="0095120B">
        <w:rPr>
          <w:rFonts w:ascii="Corbel" w:hAnsi="Corbel" w:cs="Arial"/>
          <w:sz w:val="22"/>
          <w:szCs w:val="22"/>
          <w:lang w:val="en-GB"/>
        </w:rPr>
        <w:t>focus</w:t>
      </w:r>
      <w:r w:rsidR="00D2019C" w:rsidRPr="0095120B">
        <w:rPr>
          <w:rFonts w:ascii="Corbel" w:hAnsi="Corbel" w:cs="Arial"/>
          <w:sz w:val="22"/>
          <w:szCs w:val="22"/>
          <w:lang w:val="en-GB"/>
        </w:rPr>
        <w:t xml:space="preserve">ing on the implementation of concrete activities </w:t>
      </w:r>
      <w:r w:rsidR="00F971B2" w:rsidRPr="0095120B">
        <w:rPr>
          <w:rFonts w:ascii="Corbel" w:hAnsi="Corbel" w:cs="Arial"/>
          <w:sz w:val="22"/>
          <w:szCs w:val="22"/>
          <w:lang w:val="en-GB"/>
        </w:rPr>
        <w:t>at both</w:t>
      </w:r>
      <w:r w:rsidR="00D2019C" w:rsidRPr="0095120B">
        <w:rPr>
          <w:rFonts w:ascii="Corbel" w:hAnsi="Corbel" w:cs="Arial"/>
          <w:sz w:val="22"/>
          <w:szCs w:val="22"/>
          <w:lang w:val="en-GB"/>
        </w:rPr>
        <w:t xml:space="preserve"> regional </w:t>
      </w:r>
      <w:r w:rsidR="00F971B2" w:rsidRPr="0095120B">
        <w:rPr>
          <w:rFonts w:ascii="Corbel" w:hAnsi="Corbel" w:cs="Arial"/>
          <w:sz w:val="22"/>
          <w:szCs w:val="22"/>
          <w:lang w:val="en-GB"/>
        </w:rPr>
        <w:t xml:space="preserve">and national level </w:t>
      </w:r>
      <w:r w:rsidR="002A76CD" w:rsidRPr="0095120B">
        <w:rPr>
          <w:rFonts w:ascii="Corbel" w:hAnsi="Corbel" w:cs="Arial"/>
          <w:sz w:val="22"/>
          <w:szCs w:val="22"/>
          <w:lang w:val="en-GB"/>
        </w:rPr>
        <w:t>is recommended</w:t>
      </w:r>
      <w:r w:rsidR="002A76CD" w:rsidRPr="00EF1F01">
        <w:rPr>
          <w:rFonts w:ascii="Corbel" w:hAnsi="Corbel" w:cs="Arial"/>
          <w:sz w:val="22"/>
          <w:szCs w:val="22"/>
          <w:lang w:val="en-GB"/>
        </w:rPr>
        <w:t xml:space="preserve">. </w:t>
      </w:r>
    </w:p>
    <w:p w14:paraId="67E752E9" w14:textId="7A2CD81D" w:rsidR="008C69E7" w:rsidRPr="00EF1F01" w:rsidRDefault="008C69E7" w:rsidP="007E3F08">
      <w:pPr>
        <w:pStyle w:val="ListParagraph"/>
        <w:tabs>
          <w:tab w:val="left" w:pos="360"/>
        </w:tabs>
        <w:spacing w:before="120" w:after="120" w:line="300" w:lineRule="exact"/>
        <w:ind w:left="0"/>
        <w:contextualSpacing w:val="0"/>
        <w:jc w:val="both"/>
        <w:rPr>
          <w:rFonts w:ascii="Corbel" w:eastAsia="MS Mincho" w:hAnsi="Corbel" w:cs="Arial"/>
          <w:b/>
          <w:sz w:val="22"/>
          <w:szCs w:val="22"/>
          <w:lang w:val="en-GB"/>
        </w:rPr>
      </w:pPr>
      <w:r w:rsidRPr="00EF1F01">
        <w:rPr>
          <w:rFonts w:ascii="Corbel" w:eastAsia="MS Mincho" w:hAnsi="Corbel" w:cs="Arial"/>
          <w:bCs/>
          <w:sz w:val="22"/>
          <w:szCs w:val="22"/>
          <w:lang w:val="en-GB"/>
        </w:rPr>
        <w:t xml:space="preserve">Specific recommendations </w:t>
      </w:r>
      <w:r w:rsidR="005B0933">
        <w:rPr>
          <w:rFonts w:ascii="Corbel" w:eastAsia="MS Mincho" w:hAnsi="Corbel" w:cs="Arial"/>
          <w:bCs/>
          <w:sz w:val="22"/>
          <w:szCs w:val="22"/>
          <w:lang w:val="en-GB"/>
        </w:rPr>
        <w:t xml:space="preserve">derived from project implementation and from the evaluation </w:t>
      </w:r>
      <w:r w:rsidRPr="00EF1F01">
        <w:rPr>
          <w:rFonts w:ascii="Corbel" w:eastAsia="MS Mincho" w:hAnsi="Corbel" w:cs="Arial"/>
          <w:bCs/>
          <w:sz w:val="22"/>
          <w:szCs w:val="22"/>
          <w:lang w:val="en-GB"/>
        </w:rPr>
        <w:t>are detailed below</w:t>
      </w:r>
      <w:r w:rsidRPr="00EF1F01">
        <w:rPr>
          <w:rFonts w:ascii="Corbel" w:eastAsia="MS Mincho" w:hAnsi="Corbel" w:cs="Arial"/>
          <w:b/>
          <w:sz w:val="22"/>
          <w:szCs w:val="22"/>
          <w:lang w:val="en-GB"/>
        </w:rPr>
        <w:t>:</w:t>
      </w:r>
    </w:p>
    <w:p w14:paraId="1D3DFDC7" w14:textId="51ED5FBB" w:rsidR="005B0933" w:rsidRPr="000A523C" w:rsidRDefault="005B0933" w:rsidP="4F6DD0A6">
      <w:pPr>
        <w:tabs>
          <w:tab w:val="left" w:pos="360"/>
        </w:tabs>
        <w:spacing w:before="120" w:after="120" w:line="300" w:lineRule="exact"/>
        <w:jc w:val="both"/>
        <w:rPr>
          <w:rFonts w:ascii="Corbel" w:hAnsi="Corbel" w:cs="Arial"/>
          <w:sz w:val="22"/>
          <w:szCs w:val="22"/>
          <w:lang w:val="en-GB"/>
        </w:rPr>
      </w:pPr>
      <w:r w:rsidRPr="4F6DD0A6">
        <w:rPr>
          <w:rFonts w:ascii="Corbel" w:hAnsi="Corbel" w:cs="Arial"/>
          <w:sz w:val="22"/>
          <w:szCs w:val="22"/>
          <w:u w:val="single"/>
          <w:lang w:val="en-GB"/>
        </w:rPr>
        <w:t>Recommendation 1</w:t>
      </w:r>
      <w:r w:rsidRPr="4F6DD0A6">
        <w:rPr>
          <w:rFonts w:ascii="Corbel" w:hAnsi="Corbel" w:cs="Arial"/>
          <w:sz w:val="22"/>
          <w:szCs w:val="22"/>
          <w:lang w:val="en-GB"/>
        </w:rPr>
        <w:t>. Future trade support projects should focus on one or two pillars such as</w:t>
      </w:r>
      <w:r w:rsidR="00EA2043">
        <w:rPr>
          <w:rFonts w:ascii="Corbel" w:hAnsi="Corbel" w:cs="Arial"/>
          <w:sz w:val="22"/>
          <w:szCs w:val="22"/>
          <w:lang w:val="en-GB"/>
        </w:rPr>
        <w:t>, for example</w:t>
      </w:r>
      <w:r w:rsidRPr="4F6DD0A6">
        <w:rPr>
          <w:rFonts w:ascii="Corbel" w:hAnsi="Corbel" w:cs="Arial"/>
          <w:sz w:val="22"/>
          <w:szCs w:val="22"/>
          <w:lang w:val="en-GB"/>
        </w:rPr>
        <w:t xml:space="preserve">: trade policy reform and regulations, trade-related infrastructure, and support to SMEs access to external markets. Projects should justify the rationale and create a comprehensive roadmap for </w:t>
      </w:r>
      <w:r w:rsidR="00D82994">
        <w:rPr>
          <w:rFonts w:ascii="Corbel" w:hAnsi="Corbel" w:cs="Arial"/>
          <w:sz w:val="22"/>
          <w:szCs w:val="22"/>
          <w:lang w:val="en-GB"/>
        </w:rPr>
        <w:t xml:space="preserve">the selected </w:t>
      </w:r>
      <w:r w:rsidRPr="4F6DD0A6">
        <w:rPr>
          <w:rFonts w:ascii="Corbel" w:hAnsi="Corbel" w:cs="Arial"/>
          <w:sz w:val="22"/>
          <w:szCs w:val="22"/>
          <w:lang w:val="en-GB"/>
        </w:rPr>
        <w:t xml:space="preserve">pillar/s. It should be noted that policy assistance is the most challenging trade assistance pillar as it would require extensive effort to generate political buy-in and commitment, which the Arab region currently lacks. Hence, it is advised to focus on </w:t>
      </w:r>
      <w:r w:rsidR="00686480">
        <w:rPr>
          <w:rFonts w:ascii="Corbel" w:hAnsi="Corbel" w:cs="Arial"/>
          <w:sz w:val="22"/>
          <w:szCs w:val="22"/>
          <w:lang w:val="en-GB"/>
        </w:rPr>
        <w:t xml:space="preserve">soft </w:t>
      </w:r>
      <w:r w:rsidRPr="4F6DD0A6">
        <w:rPr>
          <w:rFonts w:ascii="Corbel" w:hAnsi="Corbel" w:cs="Arial"/>
          <w:sz w:val="22"/>
          <w:szCs w:val="22"/>
          <w:lang w:val="en-GB"/>
        </w:rPr>
        <w:t xml:space="preserve">infrastructure </w:t>
      </w:r>
      <w:r w:rsidR="00686480">
        <w:rPr>
          <w:rFonts w:ascii="Corbel" w:hAnsi="Corbel" w:cs="Arial"/>
          <w:sz w:val="22"/>
          <w:szCs w:val="22"/>
          <w:lang w:val="en-GB"/>
        </w:rPr>
        <w:t>(</w:t>
      </w:r>
      <w:proofErr w:type="gramStart"/>
      <w:r w:rsidR="00686480">
        <w:rPr>
          <w:rFonts w:ascii="Corbel" w:hAnsi="Corbel" w:cs="Arial"/>
          <w:sz w:val="22"/>
          <w:szCs w:val="22"/>
          <w:lang w:val="en-GB"/>
        </w:rPr>
        <w:t>e.g.</w:t>
      </w:r>
      <w:proofErr w:type="gramEnd"/>
      <w:r w:rsidR="00686480">
        <w:rPr>
          <w:rFonts w:ascii="Corbel" w:hAnsi="Corbel" w:cs="Arial"/>
          <w:sz w:val="22"/>
          <w:szCs w:val="22"/>
          <w:lang w:val="en-GB"/>
        </w:rPr>
        <w:t xml:space="preserve"> digitization) </w:t>
      </w:r>
      <w:r w:rsidRPr="4F6DD0A6">
        <w:rPr>
          <w:rFonts w:ascii="Corbel" w:hAnsi="Corbel" w:cs="Arial"/>
          <w:sz w:val="22"/>
          <w:szCs w:val="22"/>
          <w:lang w:val="en-GB"/>
        </w:rPr>
        <w:t>and assistance to export promotion for the private sector, which are more likely to achieve concrete results in the short and medium term. These types of initiatives can also provide some bottom-up proof of concept to help donors, direct implementers, relevant stakeholders advocate for policy reforms based on tangible results. Policy assistance can therefore be better tailored and informed by more accurate baselines.</w:t>
      </w:r>
    </w:p>
    <w:p w14:paraId="13088763" w14:textId="44C28B5D" w:rsidR="001E2DC2" w:rsidRPr="005B0933" w:rsidRDefault="001E2DC2" w:rsidP="4F6DD0A6">
      <w:pPr>
        <w:tabs>
          <w:tab w:val="left" w:pos="360"/>
        </w:tabs>
        <w:spacing w:before="120" w:after="120" w:line="300" w:lineRule="exact"/>
        <w:jc w:val="both"/>
        <w:rPr>
          <w:rFonts w:ascii="Corbel" w:hAnsi="Corbel" w:cs="Arial"/>
          <w:sz w:val="22"/>
          <w:szCs w:val="22"/>
          <w:lang w:val="en-GB"/>
        </w:rPr>
      </w:pPr>
      <w:r w:rsidRPr="4F6DD0A6">
        <w:rPr>
          <w:rFonts w:ascii="Corbel" w:hAnsi="Corbel" w:cs="Arial"/>
          <w:sz w:val="22"/>
          <w:szCs w:val="22"/>
          <w:u w:val="single"/>
          <w:lang w:val="en-GB"/>
        </w:rPr>
        <w:t>Recommendation 2</w:t>
      </w:r>
      <w:r w:rsidRPr="4F6DD0A6">
        <w:rPr>
          <w:rFonts w:ascii="Corbel" w:hAnsi="Corbel" w:cs="Arial"/>
          <w:sz w:val="22"/>
          <w:szCs w:val="22"/>
          <w:lang w:val="en-GB"/>
        </w:rPr>
        <w:t xml:space="preserve">. Future project design should be based on in-depth country needs assessments and stakeholder/context mapping. Assessments at national level should focus on three main points. Firstly, an overview of the country’s economic performance and economic trends; politics, and safety and security trends; political and diplomatic relations with other Arab countries; existing trade-related policies and trade-related procedures; rating on transparency, accountability, access to information, and equity. Secondly, an examination of the performance of the public sector, particularly institutions engaged in trade and economic matters, as well as the performance and engagement of the private sector. Thirdly, a mapping of existing resources such as natural, financial, industrial, and human; industries; and internal and external growth limitations. Finally, an in-depth analysis of supply-side constraints is required to pinpoint inadequate infrastructure, lack of credits, inadequate </w:t>
      </w:r>
      <w:proofErr w:type="gramStart"/>
      <w:r w:rsidRPr="4F6DD0A6">
        <w:rPr>
          <w:rFonts w:ascii="Corbel" w:hAnsi="Corbel" w:cs="Arial"/>
          <w:sz w:val="22"/>
          <w:szCs w:val="22"/>
          <w:lang w:val="en-GB"/>
        </w:rPr>
        <w:t>technology</w:t>
      </w:r>
      <w:proofErr w:type="gramEnd"/>
      <w:r w:rsidRPr="4F6DD0A6">
        <w:rPr>
          <w:rFonts w:ascii="Corbel" w:hAnsi="Corbel" w:cs="Arial"/>
          <w:sz w:val="22"/>
          <w:szCs w:val="22"/>
          <w:lang w:val="en-GB"/>
        </w:rPr>
        <w:t xml:space="preserve"> or labour force. Due to the Arab region’s endemic lack of available data, creative ways need to be explored to access relevant sources of information to guide programming design and policy recommendations.</w:t>
      </w:r>
    </w:p>
    <w:p w14:paraId="10B399B4" w14:textId="63737019" w:rsidR="00CC1170" w:rsidRPr="00DC6ED5" w:rsidRDefault="00BE27B8" w:rsidP="0052602D">
      <w:pPr>
        <w:pStyle w:val="ListParagraph"/>
        <w:tabs>
          <w:tab w:val="left" w:pos="360"/>
        </w:tabs>
        <w:spacing w:before="120" w:after="120" w:line="300" w:lineRule="exact"/>
        <w:ind w:left="0"/>
        <w:contextualSpacing w:val="0"/>
        <w:jc w:val="both"/>
        <w:rPr>
          <w:rFonts w:ascii="Corbel" w:eastAsia="MS Mincho" w:hAnsi="Corbel" w:cs="Arial"/>
          <w:iCs/>
          <w:sz w:val="22"/>
          <w:szCs w:val="22"/>
          <w:lang w:val="en-GB"/>
        </w:rPr>
      </w:pPr>
      <w:r w:rsidRPr="005B43F5">
        <w:rPr>
          <w:rFonts w:ascii="Corbel" w:eastAsia="MS Mincho" w:hAnsi="Corbel" w:cs="Arial"/>
          <w:iCs/>
          <w:sz w:val="22"/>
          <w:szCs w:val="22"/>
          <w:u w:val="single"/>
          <w:lang w:val="en-GB"/>
        </w:rPr>
        <w:t xml:space="preserve">Recommendation </w:t>
      </w:r>
      <w:r w:rsidR="00A31A74">
        <w:rPr>
          <w:rFonts w:ascii="Corbel" w:eastAsia="MS Mincho" w:hAnsi="Corbel" w:cs="Arial"/>
          <w:iCs/>
          <w:sz w:val="22"/>
          <w:szCs w:val="22"/>
          <w:u w:val="single"/>
          <w:lang w:val="en-GB"/>
        </w:rPr>
        <w:t>3</w:t>
      </w:r>
      <w:r w:rsidRPr="005B43F5">
        <w:rPr>
          <w:rFonts w:ascii="Corbel" w:eastAsia="MS Mincho" w:hAnsi="Corbel" w:cs="Arial"/>
          <w:iCs/>
          <w:sz w:val="22"/>
          <w:szCs w:val="22"/>
          <w:lang w:val="en-GB"/>
        </w:rPr>
        <w:t xml:space="preserve">. Combine upstream policy work with more bottom-up and direct engagement of </w:t>
      </w:r>
      <w:r w:rsidR="00342070">
        <w:rPr>
          <w:rFonts w:ascii="Corbel" w:eastAsia="MS Mincho" w:hAnsi="Corbel" w:cs="Arial"/>
          <w:iCs/>
          <w:sz w:val="22"/>
          <w:szCs w:val="22"/>
          <w:lang w:val="en-GB"/>
        </w:rPr>
        <w:t xml:space="preserve">businesses, which are the </w:t>
      </w:r>
      <w:r w:rsidRPr="005B43F5">
        <w:rPr>
          <w:rFonts w:ascii="Corbel" w:eastAsia="MS Mincho" w:hAnsi="Corbel" w:cs="Arial"/>
          <w:iCs/>
          <w:sz w:val="22"/>
          <w:szCs w:val="22"/>
          <w:lang w:val="en-GB"/>
        </w:rPr>
        <w:t xml:space="preserve">users of trade services. Trade policy reforms are insufficient to deliver the expected </w:t>
      </w:r>
      <w:r w:rsidRPr="005B43F5">
        <w:rPr>
          <w:rFonts w:ascii="Corbel" w:eastAsia="MS Mincho" w:hAnsi="Corbel" w:cs="Arial"/>
          <w:iCs/>
          <w:sz w:val="22"/>
          <w:szCs w:val="22"/>
          <w:lang w:val="en-GB"/>
        </w:rPr>
        <w:lastRenderedPageBreak/>
        <w:t xml:space="preserve">benefits from trade expansion. Hence the importance of clearly showing how trade can impact alleviating poverty and raising living standards for the most vulnerable groups. Concrete achievements could be the primary motivation used to encourage stakeholders – country and regional counterparts – to engage in policy reforms. </w:t>
      </w:r>
      <w:r w:rsidR="006A74FE">
        <w:rPr>
          <w:rFonts w:ascii="Corbel" w:eastAsia="MS Mincho" w:hAnsi="Corbel" w:cs="Arial"/>
          <w:iCs/>
          <w:sz w:val="22"/>
          <w:szCs w:val="22"/>
          <w:lang w:val="en-GB"/>
        </w:rPr>
        <w:t>Ultimately, d</w:t>
      </w:r>
      <w:r w:rsidR="00CC1170" w:rsidRPr="00DC6ED5">
        <w:rPr>
          <w:rFonts w:ascii="Corbel" w:eastAsia="MS Mincho" w:hAnsi="Corbel" w:cs="Arial"/>
          <w:iCs/>
          <w:sz w:val="22"/>
          <w:szCs w:val="22"/>
          <w:lang w:val="en-GB"/>
        </w:rPr>
        <w:t xml:space="preserve">eepening Arab Economic Integration will only succeed with the pro-active engagement of the private sector in the design </w:t>
      </w:r>
      <w:r w:rsidR="004C514B">
        <w:rPr>
          <w:rFonts w:ascii="Corbel" w:eastAsia="MS Mincho" w:hAnsi="Corbel" w:cs="Arial"/>
          <w:iCs/>
          <w:sz w:val="22"/>
          <w:szCs w:val="22"/>
          <w:lang w:val="en-GB"/>
        </w:rPr>
        <w:t xml:space="preserve">and implementation </w:t>
      </w:r>
      <w:r w:rsidR="00CC1170" w:rsidRPr="00DC6ED5">
        <w:rPr>
          <w:rFonts w:ascii="Corbel" w:eastAsia="MS Mincho" w:hAnsi="Corbel" w:cs="Arial"/>
          <w:iCs/>
          <w:sz w:val="22"/>
          <w:szCs w:val="22"/>
          <w:lang w:val="en-GB"/>
        </w:rPr>
        <w:t xml:space="preserve">of </w:t>
      </w:r>
      <w:r w:rsidR="004C514B">
        <w:rPr>
          <w:rFonts w:ascii="Corbel" w:eastAsia="MS Mincho" w:hAnsi="Corbel" w:cs="Arial"/>
          <w:iCs/>
          <w:sz w:val="22"/>
          <w:szCs w:val="22"/>
          <w:lang w:val="en-GB"/>
        </w:rPr>
        <w:t>trade</w:t>
      </w:r>
      <w:r w:rsidR="00CC1170" w:rsidRPr="00DC6ED5">
        <w:rPr>
          <w:rFonts w:ascii="Corbel" w:eastAsia="MS Mincho" w:hAnsi="Corbel" w:cs="Arial"/>
          <w:iCs/>
          <w:sz w:val="22"/>
          <w:szCs w:val="22"/>
          <w:lang w:val="en-GB"/>
        </w:rPr>
        <w:t xml:space="preserve"> policies</w:t>
      </w:r>
      <w:r w:rsidR="002C0FFA">
        <w:rPr>
          <w:rFonts w:ascii="Corbel" w:eastAsia="MS Mincho" w:hAnsi="Corbel" w:cs="Arial"/>
          <w:iCs/>
          <w:sz w:val="22"/>
          <w:szCs w:val="22"/>
          <w:lang w:val="en-GB"/>
        </w:rPr>
        <w:t xml:space="preserve"> that better respond to their needs for business growth and sustainability</w:t>
      </w:r>
      <w:r w:rsidR="00CC1170" w:rsidRPr="00DC6ED5">
        <w:rPr>
          <w:rFonts w:ascii="Corbel" w:eastAsia="MS Mincho" w:hAnsi="Corbel" w:cs="Arial"/>
          <w:iCs/>
          <w:sz w:val="22"/>
          <w:szCs w:val="22"/>
          <w:lang w:val="en-GB"/>
        </w:rPr>
        <w:t>.</w:t>
      </w:r>
    </w:p>
    <w:p w14:paraId="7B0A94FE" w14:textId="77777777" w:rsidR="008C7892" w:rsidRDefault="00835F35" w:rsidP="0052602D">
      <w:pPr>
        <w:pStyle w:val="ListParagraph"/>
        <w:tabs>
          <w:tab w:val="left" w:pos="360"/>
        </w:tabs>
        <w:spacing w:before="120" w:after="120" w:line="300" w:lineRule="exact"/>
        <w:ind w:left="0"/>
        <w:contextualSpacing w:val="0"/>
        <w:jc w:val="both"/>
        <w:rPr>
          <w:rFonts w:ascii="Corbel" w:eastAsia="MS Mincho" w:hAnsi="Corbel" w:cs="Arial"/>
          <w:iCs/>
          <w:sz w:val="22"/>
          <w:szCs w:val="22"/>
          <w:lang w:val="en-GB"/>
        </w:rPr>
      </w:pPr>
      <w:r w:rsidRPr="00ED7325">
        <w:rPr>
          <w:rFonts w:ascii="Corbel" w:hAnsi="Corbel" w:cs="Arial"/>
          <w:sz w:val="22"/>
          <w:szCs w:val="22"/>
          <w:u w:val="single"/>
          <w:lang w:val="en-GB"/>
        </w:rPr>
        <w:t>Recommendation 3</w:t>
      </w:r>
      <w:r w:rsidRPr="00DC6ED5">
        <w:rPr>
          <w:rFonts w:ascii="Corbel" w:eastAsia="MS Mincho" w:hAnsi="Corbel" w:cs="Arial"/>
          <w:b/>
          <w:bCs/>
          <w:i/>
          <w:sz w:val="22"/>
          <w:szCs w:val="22"/>
          <w:u w:val="single"/>
          <w:lang w:val="en-GB"/>
        </w:rPr>
        <w:t xml:space="preserve"> </w:t>
      </w:r>
      <w:r w:rsidR="00ED7325" w:rsidRPr="00ED7325">
        <w:rPr>
          <w:rFonts w:ascii="Corbel" w:eastAsia="MS Mincho" w:hAnsi="Corbel" w:cs="Arial"/>
          <w:iCs/>
          <w:sz w:val="22"/>
          <w:szCs w:val="22"/>
          <w:lang w:val="en-GB"/>
        </w:rPr>
        <w:t>–</w:t>
      </w:r>
      <w:r w:rsidRPr="00ED7325">
        <w:rPr>
          <w:rFonts w:ascii="Corbel" w:eastAsia="MS Mincho" w:hAnsi="Corbel" w:cs="Arial"/>
          <w:iCs/>
          <w:sz w:val="22"/>
          <w:szCs w:val="22"/>
          <w:lang w:val="en-GB"/>
        </w:rPr>
        <w:t xml:space="preserve"> </w:t>
      </w:r>
      <w:r w:rsidR="00ED7325" w:rsidRPr="00ED7325">
        <w:rPr>
          <w:rFonts w:ascii="Corbel" w:eastAsia="MS Mincho" w:hAnsi="Corbel" w:cs="Arial"/>
          <w:iCs/>
          <w:sz w:val="22"/>
          <w:szCs w:val="22"/>
          <w:lang w:val="en-GB"/>
        </w:rPr>
        <w:t>Trad</w:t>
      </w:r>
      <w:r w:rsidR="00ED7325">
        <w:rPr>
          <w:rFonts w:ascii="Corbel" w:eastAsia="MS Mincho" w:hAnsi="Corbel" w:cs="Arial"/>
          <w:iCs/>
          <w:sz w:val="22"/>
          <w:szCs w:val="22"/>
          <w:lang w:val="en-GB"/>
        </w:rPr>
        <w:t xml:space="preserve">e policy reforms </w:t>
      </w:r>
      <w:r w:rsidR="009238B8">
        <w:rPr>
          <w:rFonts w:ascii="Corbel" w:eastAsia="MS Mincho" w:hAnsi="Corbel" w:cs="Arial"/>
          <w:iCs/>
          <w:sz w:val="22"/>
          <w:szCs w:val="22"/>
          <w:lang w:val="en-GB"/>
        </w:rPr>
        <w:t xml:space="preserve">should be designed with the primary objective of </w:t>
      </w:r>
      <w:r w:rsidR="00A33206">
        <w:rPr>
          <w:rFonts w:ascii="Corbel" w:eastAsia="MS Mincho" w:hAnsi="Corbel" w:cs="Arial"/>
          <w:iCs/>
          <w:sz w:val="22"/>
          <w:szCs w:val="22"/>
          <w:lang w:val="en-GB"/>
        </w:rPr>
        <w:t xml:space="preserve">contributing to sustainable development. Building on the universal consensus among Arab States on </w:t>
      </w:r>
      <w:r w:rsidR="005258B7">
        <w:rPr>
          <w:rFonts w:ascii="Corbel" w:eastAsia="MS Mincho" w:hAnsi="Corbel" w:cs="Arial"/>
          <w:iCs/>
          <w:sz w:val="22"/>
          <w:szCs w:val="22"/>
          <w:lang w:val="en-GB"/>
        </w:rPr>
        <w:t xml:space="preserve">Agenda 2030, the dialogue around regional economic cooperation should </w:t>
      </w:r>
      <w:r w:rsidR="00DF0782">
        <w:rPr>
          <w:rFonts w:ascii="Corbel" w:eastAsia="MS Mincho" w:hAnsi="Corbel" w:cs="Arial"/>
          <w:iCs/>
          <w:sz w:val="22"/>
          <w:szCs w:val="22"/>
          <w:lang w:val="en-GB"/>
        </w:rPr>
        <w:t>include</w:t>
      </w:r>
      <w:r w:rsidR="008C7892">
        <w:rPr>
          <w:rFonts w:ascii="Corbel" w:eastAsia="MS Mincho" w:hAnsi="Corbel" w:cs="Arial"/>
          <w:iCs/>
          <w:sz w:val="22"/>
          <w:szCs w:val="22"/>
          <w:lang w:val="en-GB"/>
        </w:rPr>
        <w:t>:</w:t>
      </w:r>
    </w:p>
    <w:p w14:paraId="3FCCABDD" w14:textId="78DDE6B3" w:rsidR="00804AB2" w:rsidRPr="00804AB2" w:rsidRDefault="00804AB2" w:rsidP="000168EC">
      <w:pPr>
        <w:pStyle w:val="ListParagraph"/>
        <w:numPr>
          <w:ilvl w:val="0"/>
          <w:numId w:val="25"/>
        </w:numPr>
        <w:tabs>
          <w:tab w:val="left" w:pos="360"/>
        </w:tabs>
        <w:spacing w:before="120" w:after="120" w:line="300" w:lineRule="exact"/>
        <w:contextualSpacing w:val="0"/>
        <w:jc w:val="both"/>
        <w:rPr>
          <w:rFonts w:ascii="Corbel" w:hAnsi="Corbel" w:cs="Arial"/>
          <w:iCs/>
          <w:sz w:val="22"/>
          <w:szCs w:val="22"/>
          <w:lang w:val="en-GB"/>
        </w:rPr>
      </w:pPr>
      <w:r w:rsidRPr="00804AB2">
        <w:rPr>
          <w:rFonts w:ascii="Corbel" w:hAnsi="Corbel" w:cs="Arial"/>
          <w:iCs/>
          <w:sz w:val="22"/>
          <w:szCs w:val="22"/>
          <w:lang w:val="en-GB"/>
        </w:rPr>
        <w:t xml:space="preserve">For countries that have existing national trade policies, these policies must be (1) re-vamped with results-based management (RBM); (2) </w:t>
      </w:r>
      <w:r w:rsidR="00087DB6">
        <w:rPr>
          <w:rFonts w:ascii="Corbel" w:hAnsi="Corbel" w:cs="Arial"/>
          <w:iCs/>
          <w:sz w:val="22"/>
          <w:szCs w:val="22"/>
          <w:lang w:val="en-GB"/>
        </w:rPr>
        <w:t>aligned to</w:t>
      </w:r>
      <w:r w:rsidRPr="00804AB2">
        <w:rPr>
          <w:rFonts w:ascii="Corbel" w:hAnsi="Corbel" w:cs="Arial"/>
          <w:iCs/>
          <w:sz w:val="22"/>
          <w:szCs w:val="22"/>
          <w:lang w:val="en-GB"/>
        </w:rPr>
        <w:t xml:space="preserve"> the regional </w:t>
      </w:r>
      <w:r w:rsidR="00D325B5">
        <w:rPr>
          <w:rFonts w:ascii="Corbel" w:hAnsi="Corbel" w:cs="Arial"/>
          <w:iCs/>
          <w:sz w:val="22"/>
          <w:szCs w:val="22"/>
          <w:lang w:val="en-GB"/>
        </w:rPr>
        <w:t xml:space="preserve">trade </w:t>
      </w:r>
      <w:r w:rsidRPr="00804AB2">
        <w:rPr>
          <w:rFonts w:ascii="Corbel" w:hAnsi="Corbel" w:cs="Arial"/>
          <w:iCs/>
          <w:sz w:val="22"/>
          <w:szCs w:val="22"/>
          <w:lang w:val="en-GB"/>
        </w:rPr>
        <w:t>agenda; (3) linked to the SDGs; and (4) have services, environment</w:t>
      </w:r>
      <w:r w:rsidR="00087DB6">
        <w:rPr>
          <w:rFonts w:ascii="Corbel" w:hAnsi="Corbel" w:cs="Arial"/>
          <w:iCs/>
          <w:sz w:val="22"/>
          <w:szCs w:val="22"/>
          <w:lang w:val="en-GB"/>
        </w:rPr>
        <w:t>,</w:t>
      </w:r>
      <w:r w:rsidRPr="00804AB2">
        <w:rPr>
          <w:rFonts w:ascii="Corbel" w:hAnsi="Corbel" w:cs="Arial"/>
          <w:iCs/>
          <w:sz w:val="22"/>
          <w:szCs w:val="22"/>
          <w:lang w:val="en-GB"/>
        </w:rPr>
        <w:t xml:space="preserve"> </w:t>
      </w:r>
      <w:proofErr w:type="gramStart"/>
      <w:r w:rsidR="00087DB6">
        <w:rPr>
          <w:rFonts w:ascii="Corbel" w:hAnsi="Corbel" w:cs="Arial"/>
          <w:iCs/>
          <w:sz w:val="22"/>
          <w:szCs w:val="22"/>
          <w:lang w:val="en-GB"/>
        </w:rPr>
        <w:t>youth</w:t>
      </w:r>
      <w:proofErr w:type="gramEnd"/>
      <w:r w:rsidR="00087DB6">
        <w:rPr>
          <w:rFonts w:ascii="Corbel" w:hAnsi="Corbel" w:cs="Arial"/>
          <w:iCs/>
          <w:sz w:val="22"/>
          <w:szCs w:val="22"/>
          <w:lang w:val="en-GB"/>
        </w:rPr>
        <w:t xml:space="preserve"> </w:t>
      </w:r>
      <w:r w:rsidRPr="00804AB2">
        <w:rPr>
          <w:rFonts w:ascii="Corbel" w:hAnsi="Corbel" w:cs="Arial"/>
          <w:iCs/>
          <w:sz w:val="22"/>
          <w:szCs w:val="22"/>
          <w:lang w:val="en-GB"/>
        </w:rPr>
        <w:t>and gender as essential components.</w:t>
      </w:r>
    </w:p>
    <w:p w14:paraId="1B86A948" w14:textId="0E36D877" w:rsidR="00393791" w:rsidRPr="00F442EE" w:rsidRDefault="00F442EE" w:rsidP="000168EC">
      <w:pPr>
        <w:pStyle w:val="ListParagraph"/>
        <w:numPr>
          <w:ilvl w:val="0"/>
          <w:numId w:val="25"/>
        </w:numPr>
        <w:tabs>
          <w:tab w:val="left" w:pos="360"/>
        </w:tabs>
        <w:spacing w:before="120" w:after="120" w:line="300" w:lineRule="exact"/>
        <w:contextualSpacing w:val="0"/>
        <w:jc w:val="both"/>
        <w:rPr>
          <w:rFonts w:ascii="Corbel" w:hAnsi="Corbel" w:cs="Arial"/>
          <w:iCs/>
          <w:sz w:val="22"/>
          <w:szCs w:val="22"/>
          <w:lang w:val="en-GB"/>
        </w:rPr>
      </w:pPr>
      <w:r>
        <w:rPr>
          <w:rFonts w:ascii="Corbel" w:eastAsia="MS Mincho" w:hAnsi="Corbel" w:cs="Arial"/>
          <w:iCs/>
          <w:sz w:val="22"/>
          <w:szCs w:val="22"/>
          <w:lang w:val="en-GB"/>
        </w:rPr>
        <w:t>S</w:t>
      </w:r>
      <w:r w:rsidR="00393791" w:rsidRPr="00DC6ED5">
        <w:rPr>
          <w:rFonts w:ascii="Corbel" w:eastAsia="MS Mincho" w:hAnsi="Corbel" w:cs="Arial"/>
          <w:iCs/>
          <w:sz w:val="22"/>
          <w:szCs w:val="22"/>
          <w:lang w:val="en-GB"/>
        </w:rPr>
        <w:t xml:space="preserve">upport </w:t>
      </w:r>
      <w:r w:rsidR="009135DA">
        <w:rPr>
          <w:rFonts w:ascii="Corbel" w:eastAsia="MS Mincho" w:hAnsi="Corbel" w:cs="Arial"/>
          <w:iCs/>
          <w:sz w:val="22"/>
          <w:szCs w:val="22"/>
          <w:lang w:val="en-GB"/>
        </w:rPr>
        <w:t xml:space="preserve">to </w:t>
      </w:r>
      <w:r w:rsidR="00393791" w:rsidRPr="00DC6ED5">
        <w:rPr>
          <w:rFonts w:ascii="Corbel" w:eastAsia="MS Mincho" w:hAnsi="Corbel" w:cs="Arial"/>
          <w:iCs/>
          <w:sz w:val="22"/>
          <w:szCs w:val="22"/>
          <w:lang w:val="en-GB"/>
        </w:rPr>
        <w:t xml:space="preserve">economic diversification through </w:t>
      </w:r>
      <w:r w:rsidR="009135DA">
        <w:rPr>
          <w:rFonts w:ascii="Corbel" w:eastAsia="MS Mincho" w:hAnsi="Corbel" w:cs="Arial"/>
          <w:iCs/>
          <w:sz w:val="22"/>
          <w:szCs w:val="22"/>
          <w:lang w:val="en-GB"/>
        </w:rPr>
        <w:t>supply chains that can develop based on comparative advantage within the</w:t>
      </w:r>
      <w:r w:rsidR="00393791" w:rsidRPr="00DC6ED5">
        <w:rPr>
          <w:rFonts w:ascii="Corbel" w:eastAsia="MS Mincho" w:hAnsi="Corbel" w:cs="Arial"/>
          <w:iCs/>
          <w:sz w:val="22"/>
          <w:szCs w:val="22"/>
          <w:lang w:val="en-GB"/>
        </w:rPr>
        <w:t xml:space="preserve"> regional economic space</w:t>
      </w:r>
      <w:r w:rsidR="002874D0">
        <w:rPr>
          <w:rFonts w:ascii="Corbel" w:eastAsia="MS Mincho" w:hAnsi="Corbel" w:cs="Arial"/>
          <w:iCs/>
          <w:sz w:val="22"/>
          <w:szCs w:val="22"/>
          <w:lang w:val="en-GB"/>
        </w:rPr>
        <w:t>,</w:t>
      </w:r>
      <w:r w:rsidR="009135DA">
        <w:rPr>
          <w:rFonts w:ascii="Corbel" w:eastAsia="MS Mincho" w:hAnsi="Corbel" w:cs="Arial"/>
          <w:iCs/>
          <w:sz w:val="22"/>
          <w:szCs w:val="22"/>
          <w:lang w:val="en-GB"/>
        </w:rPr>
        <w:t xml:space="preserve"> and in </w:t>
      </w:r>
      <w:r w:rsidR="002874D0">
        <w:rPr>
          <w:rFonts w:ascii="Corbel" w:eastAsia="MS Mincho" w:hAnsi="Corbel" w:cs="Arial"/>
          <w:iCs/>
          <w:sz w:val="22"/>
          <w:szCs w:val="22"/>
          <w:lang w:val="en-GB"/>
        </w:rPr>
        <w:t>connection</w:t>
      </w:r>
      <w:r w:rsidR="00260632">
        <w:rPr>
          <w:rFonts w:ascii="Corbel" w:eastAsia="MS Mincho" w:hAnsi="Corbel" w:cs="Arial"/>
          <w:iCs/>
          <w:sz w:val="22"/>
          <w:szCs w:val="22"/>
          <w:lang w:val="en-GB"/>
        </w:rPr>
        <w:t xml:space="preserve"> with global markets</w:t>
      </w:r>
      <w:r w:rsidR="00393791" w:rsidRPr="00DC6ED5">
        <w:rPr>
          <w:rFonts w:ascii="Corbel" w:eastAsia="MS Mincho" w:hAnsi="Corbel" w:cs="Arial"/>
          <w:iCs/>
          <w:sz w:val="22"/>
          <w:szCs w:val="22"/>
          <w:lang w:val="en-GB"/>
        </w:rPr>
        <w:t xml:space="preserve">. </w:t>
      </w:r>
      <w:r w:rsidR="00260632">
        <w:rPr>
          <w:rFonts w:ascii="Corbel" w:hAnsi="Corbel" w:cs="Arial"/>
          <w:sz w:val="22"/>
          <w:szCs w:val="22"/>
          <w:lang w:val="en-GB"/>
        </w:rPr>
        <w:t>C</w:t>
      </w:r>
      <w:r w:rsidR="00393791" w:rsidRPr="00DC6ED5">
        <w:rPr>
          <w:rFonts w:ascii="Corbel" w:hAnsi="Corbel" w:cs="Arial"/>
          <w:sz w:val="22"/>
          <w:szCs w:val="22"/>
          <w:lang w:val="en-GB"/>
        </w:rPr>
        <w:t xml:space="preserve">omplementary production networks in Arab countries </w:t>
      </w:r>
      <w:r w:rsidR="00E05860">
        <w:rPr>
          <w:rFonts w:ascii="Corbel" w:hAnsi="Corbel" w:cs="Arial"/>
          <w:sz w:val="22"/>
          <w:szCs w:val="22"/>
          <w:lang w:val="en-GB"/>
        </w:rPr>
        <w:t>can help</w:t>
      </w:r>
      <w:r w:rsidR="00393791" w:rsidRPr="00DC6ED5">
        <w:rPr>
          <w:rFonts w:ascii="Corbel" w:hAnsi="Corbel" w:cs="Arial"/>
          <w:sz w:val="22"/>
          <w:szCs w:val="22"/>
          <w:lang w:val="en-GB"/>
        </w:rPr>
        <w:t xml:space="preserve"> </w:t>
      </w:r>
      <w:r w:rsidR="00110454">
        <w:rPr>
          <w:rFonts w:ascii="Corbel" w:hAnsi="Corbel" w:cs="Arial"/>
          <w:sz w:val="22"/>
          <w:szCs w:val="22"/>
          <w:lang w:val="en-GB"/>
        </w:rPr>
        <w:t>move</w:t>
      </w:r>
      <w:r w:rsidR="00393791" w:rsidRPr="00DC6ED5">
        <w:rPr>
          <w:rFonts w:ascii="Corbel" w:hAnsi="Corbel" w:cs="Arial"/>
          <w:sz w:val="22"/>
          <w:szCs w:val="22"/>
          <w:lang w:val="en-GB"/>
        </w:rPr>
        <w:t xml:space="preserve"> to higher value-added manufacturing</w:t>
      </w:r>
      <w:r w:rsidR="00E05860">
        <w:rPr>
          <w:rFonts w:ascii="Corbel" w:hAnsi="Corbel" w:cs="Arial"/>
          <w:sz w:val="22"/>
          <w:szCs w:val="22"/>
          <w:lang w:val="en-GB"/>
        </w:rPr>
        <w:t>.</w:t>
      </w:r>
      <w:r w:rsidR="00393791" w:rsidRPr="00DC6ED5">
        <w:rPr>
          <w:rFonts w:ascii="Corbel" w:hAnsi="Corbel" w:cs="Arial"/>
          <w:sz w:val="22"/>
          <w:szCs w:val="22"/>
          <w:lang w:val="en-GB"/>
        </w:rPr>
        <w:t xml:space="preserve"> </w:t>
      </w:r>
      <w:r w:rsidR="004F2FD6">
        <w:rPr>
          <w:rFonts w:ascii="Corbel" w:hAnsi="Corbel" w:cs="Arial"/>
          <w:sz w:val="22"/>
          <w:szCs w:val="22"/>
          <w:lang w:val="en-GB"/>
        </w:rPr>
        <w:t>L</w:t>
      </w:r>
      <w:r w:rsidR="00393791" w:rsidRPr="00DC6ED5">
        <w:rPr>
          <w:rFonts w:ascii="Corbel" w:hAnsi="Corbel" w:cs="Arial"/>
          <w:sz w:val="22"/>
          <w:szCs w:val="22"/>
          <w:lang w:val="en-GB"/>
        </w:rPr>
        <w:t xml:space="preserve">inking local economies to international supply chains can also help </w:t>
      </w:r>
      <w:r w:rsidR="00110454">
        <w:rPr>
          <w:rFonts w:ascii="Corbel" w:hAnsi="Corbel" w:cs="Arial"/>
          <w:sz w:val="22"/>
          <w:szCs w:val="22"/>
          <w:lang w:val="en-GB"/>
        </w:rPr>
        <w:t>increase</w:t>
      </w:r>
      <w:r w:rsidR="00393791" w:rsidRPr="00DC6ED5">
        <w:rPr>
          <w:rFonts w:ascii="Corbel" w:hAnsi="Corbel" w:cs="Arial"/>
          <w:sz w:val="22"/>
          <w:szCs w:val="22"/>
          <w:lang w:val="en-GB"/>
        </w:rPr>
        <w:t xml:space="preserve"> the value added </w:t>
      </w:r>
      <w:r w:rsidR="004F2FD6">
        <w:rPr>
          <w:rFonts w:ascii="Corbel" w:hAnsi="Corbel" w:cs="Arial"/>
          <w:sz w:val="22"/>
          <w:szCs w:val="22"/>
          <w:lang w:val="en-GB"/>
        </w:rPr>
        <w:t>of</w:t>
      </w:r>
      <w:r w:rsidR="00393791" w:rsidRPr="00DC6ED5">
        <w:rPr>
          <w:rFonts w:ascii="Corbel" w:hAnsi="Corbel" w:cs="Arial"/>
          <w:sz w:val="22"/>
          <w:szCs w:val="22"/>
          <w:lang w:val="en-GB"/>
        </w:rPr>
        <w:t xml:space="preserve"> agricultural products, </w:t>
      </w:r>
      <w:r w:rsidR="004F2FD6">
        <w:rPr>
          <w:rFonts w:ascii="Corbel" w:hAnsi="Corbel" w:cs="Arial"/>
          <w:sz w:val="22"/>
          <w:szCs w:val="22"/>
          <w:lang w:val="en-GB"/>
        </w:rPr>
        <w:t xml:space="preserve">reducing food </w:t>
      </w:r>
      <w:proofErr w:type="gramStart"/>
      <w:r w:rsidR="00655919">
        <w:rPr>
          <w:rFonts w:ascii="Corbel" w:hAnsi="Corbel" w:cs="Arial"/>
          <w:sz w:val="22"/>
          <w:szCs w:val="22"/>
          <w:lang w:val="en-GB"/>
        </w:rPr>
        <w:t>dependency</w:t>
      </w:r>
      <w:proofErr w:type="gramEnd"/>
      <w:r w:rsidR="004F2FD6">
        <w:rPr>
          <w:rFonts w:ascii="Corbel" w:hAnsi="Corbel" w:cs="Arial"/>
          <w:sz w:val="22"/>
          <w:szCs w:val="22"/>
          <w:lang w:val="en-GB"/>
        </w:rPr>
        <w:t xml:space="preserve"> and</w:t>
      </w:r>
      <w:r w:rsidR="00393791" w:rsidRPr="00DC6ED5">
        <w:rPr>
          <w:rFonts w:ascii="Corbel" w:hAnsi="Corbel" w:cs="Arial"/>
          <w:sz w:val="22"/>
          <w:szCs w:val="22"/>
          <w:lang w:val="en-GB"/>
        </w:rPr>
        <w:t xml:space="preserve"> improving food security</w:t>
      </w:r>
      <w:r w:rsidR="004F2FD6">
        <w:rPr>
          <w:rFonts w:ascii="Corbel" w:hAnsi="Corbel" w:cs="Arial"/>
          <w:sz w:val="22"/>
          <w:szCs w:val="22"/>
          <w:lang w:val="en-GB"/>
        </w:rPr>
        <w:t xml:space="preserve"> in the region</w:t>
      </w:r>
      <w:r w:rsidR="00393791" w:rsidRPr="00DC6ED5">
        <w:rPr>
          <w:rFonts w:ascii="Corbel" w:hAnsi="Corbel" w:cs="Arial"/>
          <w:sz w:val="22"/>
          <w:szCs w:val="22"/>
          <w:lang w:val="en-GB"/>
        </w:rPr>
        <w:t>.</w:t>
      </w:r>
    </w:p>
    <w:p w14:paraId="521CE4F8" w14:textId="77777777" w:rsidR="002F646E" w:rsidRDefault="00F442EE" w:rsidP="000168EC">
      <w:pPr>
        <w:pStyle w:val="ListParagraph"/>
        <w:numPr>
          <w:ilvl w:val="0"/>
          <w:numId w:val="25"/>
        </w:numPr>
        <w:tabs>
          <w:tab w:val="left" w:pos="360"/>
        </w:tabs>
        <w:spacing w:before="120" w:after="120" w:line="300" w:lineRule="exact"/>
        <w:contextualSpacing w:val="0"/>
        <w:jc w:val="both"/>
        <w:rPr>
          <w:rFonts w:ascii="Corbel" w:hAnsi="Corbel" w:cs="Arial"/>
          <w:iCs/>
          <w:sz w:val="22"/>
          <w:szCs w:val="22"/>
          <w:lang w:val="en-GB"/>
        </w:rPr>
      </w:pPr>
      <w:r w:rsidRPr="00087DB6">
        <w:rPr>
          <w:rFonts w:ascii="Corbel" w:eastAsia="MS Mincho" w:hAnsi="Corbel" w:cs="Arial"/>
          <w:iCs/>
          <w:sz w:val="22"/>
          <w:szCs w:val="22"/>
          <w:lang w:val="en-GB"/>
        </w:rPr>
        <w:t xml:space="preserve">Ensure that trade interventions guarantee more solid gender mainstreaming in future programming. Firstly, the project should assess </w:t>
      </w:r>
      <w:r>
        <w:rPr>
          <w:rFonts w:ascii="Corbel" w:hAnsi="Corbel" w:cs="Arial"/>
          <w:iCs/>
          <w:sz w:val="22"/>
          <w:szCs w:val="22"/>
          <w:lang w:val="en-GB"/>
        </w:rPr>
        <w:t xml:space="preserve">how </w:t>
      </w:r>
      <w:r w:rsidRPr="00087DB6">
        <w:rPr>
          <w:rFonts w:ascii="Corbel" w:eastAsia="MS Mincho" w:hAnsi="Corbel" w:cs="Arial"/>
          <w:iCs/>
          <w:sz w:val="22"/>
          <w:szCs w:val="22"/>
          <w:lang w:val="en-GB"/>
        </w:rPr>
        <w:t xml:space="preserve">gender inequalities </w:t>
      </w:r>
      <w:r>
        <w:rPr>
          <w:rFonts w:ascii="Corbel" w:hAnsi="Corbel" w:cs="Arial"/>
          <w:iCs/>
          <w:sz w:val="22"/>
          <w:szCs w:val="22"/>
          <w:lang w:val="en-GB"/>
        </w:rPr>
        <w:t>are impacted by trade to conceptualize trade approaches that help</w:t>
      </w:r>
      <w:r w:rsidRPr="00087DB6">
        <w:rPr>
          <w:rFonts w:ascii="Corbel" w:eastAsia="MS Mincho" w:hAnsi="Corbel" w:cs="Arial"/>
          <w:iCs/>
          <w:sz w:val="22"/>
          <w:szCs w:val="22"/>
          <w:lang w:val="en-GB"/>
        </w:rPr>
        <w:t xml:space="preserve"> to redress pre-existing inequalities through a gender-sensitive lens. Further considerations should be given to promoting women’s productive employment and challenging discriminatory social norms in trade and the business market.</w:t>
      </w:r>
      <w:r>
        <w:rPr>
          <w:rFonts w:ascii="Corbel" w:eastAsia="MS Mincho" w:hAnsi="Corbel" w:cs="Arial"/>
          <w:iCs/>
          <w:sz w:val="22"/>
          <w:szCs w:val="22"/>
          <w:lang w:val="en-GB"/>
        </w:rPr>
        <w:t xml:space="preserve"> </w:t>
      </w:r>
      <w:r>
        <w:rPr>
          <w:rFonts w:ascii="Corbel" w:hAnsi="Corbel" w:cs="Arial"/>
          <w:iCs/>
          <w:sz w:val="22"/>
          <w:szCs w:val="22"/>
          <w:lang w:val="en-GB"/>
        </w:rPr>
        <w:t>A</w:t>
      </w:r>
      <w:r w:rsidRPr="00087DB6">
        <w:rPr>
          <w:rFonts w:ascii="Corbel" w:eastAsia="MS Mincho" w:hAnsi="Corbel" w:cs="Arial"/>
          <w:iCs/>
          <w:sz w:val="22"/>
          <w:szCs w:val="22"/>
          <w:lang w:val="en-GB"/>
        </w:rPr>
        <w:t>ssumptions of gender-neutrality</w:t>
      </w:r>
      <w:r>
        <w:rPr>
          <w:rFonts w:ascii="Corbel" w:hAnsi="Corbel" w:cs="Arial"/>
          <w:iCs/>
          <w:sz w:val="22"/>
          <w:szCs w:val="22"/>
          <w:lang w:val="en-GB"/>
        </w:rPr>
        <w:t xml:space="preserve"> should be avoided in line with</w:t>
      </w:r>
      <w:r w:rsidRPr="00087DB6">
        <w:rPr>
          <w:rFonts w:ascii="Corbel" w:eastAsia="MS Mincho" w:hAnsi="Corbel" w:cs="Arial"/>
          <w:iCs/>
          <w:sz w:val="22"/>
          <w:szCs w:val="22"/>
          <w:lang w:val="en-GB"/>
        </w:rPr>
        <w:t xml:space="preserve"> legal obligations under the Convention on the Elimination of All Forms of Discrimination Against Women (CEDAW).</w:t>
      </w:r>
      <w:r w:rsidR="002F646E" w:rsidRPr="002F646E">
        <w:rPr>
          <w:rFonts w:ascii="Corbel" w:hAnsi="Corbel" w:cs="Arial"/>
          <w:iCs/>
          <w:sz w:val="22"/>
          <w:szCs w:val="22"/>
          <w:lang w:val="en-GB"/>
        </w:rPr>
        <w:t xml:space="preserve"> </w:t>
      </w:r>
    </w:p>
    <w:p w14:paraId="1A4BB0CE" w14:textId="71A46CA3" w:rsidR="00CD2046" w:rsidRPr="00E0607F" w:rsidRDefault="002F646E" w:rsidP="000168EC">
      <w:pPr>
        <w:pStyle w:val="ListParagraph"/>
        <w:numPr>
          <w:ilvl w:val="0"/>
          <w:numId w:val="25"/>
        </w:numPr>
        <w:tabs>
          <w:tab w:val="left" w:pos="360"/>
        </w:tabs>
        <w:spacing w:before="120" w:after="120" w:line="300" w:lineRule="exact"/>
        <w:contextualSpacing w:val="0"/>
        <w:jc w:val="both"/>
        <w:rPr>
          <w:rFonts w:ascii="Corbel" w:hAnsi="Corbel" w:cs="Arial"/>
          <w:iCs/>
          <w:sz w:val="22"/>
          <w:szCs w:val="22"/>
          <w:lang w:val="en-GB"/>
        </w:rPr>
      </w:pPr>
      <w:r>
        <w:rPr>
          <w:rFonts w:ascii="Corbel" w:hAnsi="Corbel" w:cs="Arial"/>
          <w:iCs/>
          <w:sz w:val="22"/>
          <w:szCs w:val="22"/>
          <w:lang w:val="en-GB"/>
        </w:rPr>
        <w:t>D</w:t>
      </w:r>
      <w:r w:rsidRPr="00031948">
        <w:rPr>
          <w:rFonts w:ascii="Corbel" w:eastAsia="MS Mincho" w:hAnsi="Corbel" w:cs="Arial"/>
          <w:iCs/>
          <w:sz w:val="22"/>
          <w:szCs w:val="22"/>
          <w:lang w:val="en-GB"/>
        </w:rPr>
        <w:t xml:space="preserve">esign trade policies with environmental protection in mind. For example, while reducing costs, lower trade tariffs can also facilitate trade actors’ access to equipment and technologies that can mitigate environmental harm caused by all stages of economic activities. Fostering cleaner practices in business through increasing awareness can also provide competitive advantages to green businesses and </w:t>
      </w:r>
      <w:r>
        <w:rPr>
          <w:rFonts w:ascii="Corbel" w:hAnsi="Corbel" w:cs="Arial"/>
          <w:iCs/>
          <w:sz w:val="22"/>
          <w:szCs w:val="22"/>
          <w:lang w:val="en-GB"/>
        </w:rPr>
        <w:t>facilitate access to global markets</w:t>
      </w:r>
      <w:r w:rsidRPr="00031948">
        <w:rPr>
          <w:rFonts w:ascii="Corbel" w:eastAsia="MS Mincho" w:hAnsi="Corbel" w:cs="Arial"/>
          <w:iCs/>
          <w:sz w:val="22"/>
          <w:szCs w:val="22"/>
          <w:lang w:val="en-GB"/>
        </w:rPr>
        <w:t xml:space="preserve">. </w:t>
      </w:r>
      <w:r>
        <w:rPr>
          <w:rFonts w:ascii="Corbel" w:hAnsi="Corbel" w:cs="Arial"/>
          <w:iCs/>
          <w:sz w:val="22"/>
          <w:szCs w:val="22"/>
          <w:lang w:val="en-GB"/>
        </w:rPr>
        <w:t>G</w:t>
      </w:r>
      <w:r w:rsidRPr="00031948">
        <w:rPr>
          <w:rFonts w:ascii="Corbel" w:eastAsia="MS Mincho" w:hAnsi="Corbel" w:cs="Arial"/>
          <w:iCs/>
          <w:sz w:val="22"/>
          <w:szCs w:val="22"/>
          <w:lang w:val="en-GB"/>
        </w:rPr>
        <w:t>reater investment is needed for the systematic collection of data related to the environment – for example, firms providing green services, the financial cost of environmental harm, simulations on how cleaner practices can improve performance and profits.</w:t>
      </w:r>
    </w:p>
    <w:p w14:paraId="2FF6BEDE" w14:textId="623608B1" w:rsidR="00B90326" w:rsidRDefault="006B3B8B" w:rsidP="006B3B8B">
      <w:pPr>
        <w:pStyle w:val="ListParagraph"/>
        <w:tabs>
          <w:tab w:val="left" w:pos="360"/>
        </w:tabs>
        <w:spacing w:before="120" w:after="120" w:line="300" w:lineRule="exact"/>
        <w:ind w:left="0"/>
        <w:contextualSpacing w:val="0"/>
        <w:jc w:val="both"/>
        <w:rPr>
          <w:rFonts w:ascii="Corbel" w:eastAsia="MS Mincho" w:hAnsi="Corbel" w:cs="Arial"/>
          <w:iCs/>
          <w:sz w:val="22"/>
          <w:szCs w:val="22"/>
          <w:lang w:val="en-GB"/>
        </w:rPr>
      </w:pPr>
      <w:r w:rsidRPr="002C0FFA">
        <w:rPr>
          <w:rFonts w:ascii="Corbel" w:hAnsi="Corbel" w:cs="Arial"/>
          <w:sz w:val="22"/>
          <w:szCs w:val="22"/>
          <w:u w:val="single"/>
          <w:lang w:val="en-GB"/>
        </w:rPr>
        <w:t xml:space="preserve">Recommendation </w:t>
      </w:r>
      <w:r>
        <w:rPr>
          <w:rFonts w:ascii="Corbel" w:hAnsi="Corbel" w:cs="Arial"/>
          <w:sz w:val="22"/>
          <w:szCs w:val="22"/>
          <w:u w:val="single"/>
          <w:lang w:val="en-GB"/>
        </w:rPr>
        <w:t>4</w:t>
      </w:r>
      <w:r w:rsidRPr="00DC6ED5">
        <w:rPr>
          <w:rFonts w:ascii="Corbel" w:eastAsia="MS Mincho" w:hAnsi="Corbel" w:cs="Arial"/>
          <w:sz w:val="22"/>
          <w:szCs w:val="22"/>
          <w:lang w:val="en-GB"/>
        </w:rPr>
        <w:t xml:space="preserve"> –</w:t>
      </w:r>
      <w:r>
        <w:rPr>
          <w:rFonts w:ascii="Corbel" w:eastAsia="MS Mincho" w:hAnsi="Corbel" w:cs="Arial"/>
          <w:sz w:val="22"/>
          <w:szCs w:val="22"/>
          <w:lang w:val="en-GB"/>
        </w:rPr>
        <w:t xml:space="preserve"> </w:t>
      </w:r>
      <w:r w:rsidR="00FA175C">
        <w:rPr>
          <w:rFonts w:ascii="Corbel" w:eastAsia="MS Mincho" w:hAnsi="Corbel" w:cs="Arial"/>
          <w:iCs/>
          <w:sz w:val="22"/>
          <w:szCs w:val="22"/>
          <w:lang w:val="en-GB"/>
        </w:rPr>
        <w:t>Regional economic integration necessitates</w:t>
      </w:r>
      <w:r w:rsidR="00AA2FD9" w:rsidRPr="00DC6ED5">
        <w:rPr>
          <w:rFonts w:ascii="Corbel" w:eastAsia="MS Mincho" w:hAnsi="Corbel" w:cs="Arial"/>
          <w:iCs/>
          <w:sz w:val="22"/>
          <w:szCs w:val="22"/>
          <w:lang w:val="en-GB"/>
        </w:rPr>
        <w:t xml:space="preserve"> </w:t>
      </w:r>
      <w:r w:rsidR="00AA2FD9">
        <w:rPr>
          <w:rFonts w:ascii="Corbel" w:eastAsia="MS Mincho" w:hAnsi="Corbel" w:cs="Arial"/>
          <w:iCs/>
          <w:sz w:val="22"/>
          <w:szCs w:val="22"/>
          <w:lang w:val="en-GB"/>
        </w:rPr>
        <w:t>a</w:t>
      </w:r>
      <w:r w:rsidR="00AA2FD9" w:rsidRPr="00DC6ED5">
        <w:rPr>
          <w:rFonts w:ascii="Corbel" w:eastAsia="MS Mincho" w:hAnsi="Corbel" w:cs="Arial"/>
          <w:iCs/>
          <w:sz w:val="22"/>
          <w:szCs w:val="22"/>
          <w:lang w:val="en-GB"/>
        </w:rPr>
        <w:t xml:space="preserve"> new governance model </w:t>
      </w:r>
      <w:r w:rsidR="00FA175C">
        <w:rPr>
          <w:rFonts w:ascii="Corbel" w:eastAsia="MS Mincho" w:hAnsi="Corbel" w:cs="Arial"/>
          <w:iCs/>
          <w:sz w:val="22"/>
          <w:szCs w:val="22"/>
          <w:lang w:val="en-GB"/>
        </w:rPr>
        <w:t xml:space="preserve">with </w:t>
      </w:r>
      <w:r w:rsidR="00AA2FD9" w:rsidRPr="00DC6ED5">
        <w:rPr>
          <w:rFonts w:ascii="Corbel" w:eastAsia="MS Mincho" w:hAnsi="Corbel" w:cs="Arial"/>
          <w:iCs/>
          <w:sz w:val="22"/>
          <w:szCs w:val="22"/>
          <w:lang w:val="en-GB"/>
        </w:rPr>
        <w:t xml:space="preserve">a regional body </w:t>
      </w:r>
      <w:r w:rsidR="00AA2FD9">
        <w:rPr>
          <w:rFonts w:ascii="Corbel" w:eastAsia="MS Mincho" w:hAnsi="Corbel" w:cs="Arial"/>
          <w:iCs/>
          <w:sz w:val="22"/>
          <w:szCs w:val="22"/>
          <w:lang w:val="en-GB"/>
        </w:rPr>
        <w:t xml:space="preserve">provided with the </w:t>
      </w:r>
      <w:r w:rsidR="00AA2FD9" w:rsidRPr="00DC6ED5">
        <w:rPr>
          <w:rFonts w:ascii="Corbel" w:eastAsia="MS Mincho" w:hAnsi="Corbel" w:cs="Arial"/>
          <w:iCs/>
          <w:sz w:val="22"/>
          <w:szCs w:val="22"/>
          <w:lang w:val="en-GB"/>
        </w:rPr>
        <w:t xml:space="preserve">authority </w:t>
      </w:r>
      <w:r w:rsidR="00AA2FD9">
        <w:rPr>
          <w:rFonts w:ascii="Corbel" w:eastAsia="MS Mincho" w:hAnsi="Corbel" w:cs="Arial"/>
          <w:iCs/>
          <w:sz w:val="22"/>
          <w:szCs w:val="22"/>
          <w:lang w:val="en-GB"/>
        </w:rPr>
        <w:t>to</w:t>
      </w:r>
      <w:r w:rsidR="00AA2FD9" w:rsidRPr="00DC6ED5">
        <w:rPr>
          <w:rFonts w:ascii="Corbel" w:eastAsia="MS Mincho" w:hAnsi="Corbel" w:cs="Arial"/>
          <w:iCs/>
          <w:sz w:val="22"/>
          <w:szCs w:val="22"/>
          <w:lang w:val="en-GB"/>
        </w:rPr>
        <w:t xml:space="preserve"> enforce and monitor implementation</w:t>
      </w:r>
      <w:r w:rsidR="00B90326">
        <w:rPr>
          <w:rFonts w:ascii="Corbel" w:eastAsia="MS Mincho" w:hAnsi="Corbel" w:cs="Arial"/>
          <w:iCs/>
          <w:sz w:val="22"/>
          <w:szCs w:val="22"/>
          <w:lang w:val="en-GB"/>
        </w:rPr>
        <w:t>. The aim</w:t>
      </w:r>
      <w:r w:rsidR="00A9262A">
        <w:rPr>
          <w:rFonts w:ascii="Corbel" w:eastAsia="MS Mincho" w:hAnsi="Corbel" w:cs="Arial"/>
          <w:iCs/>
          <w:sz w:val="22"/>
          <w:szCs w:val="22"/>
          <w:lang w:val="en-GB"/>
        </w:rPr>
        <w:t>s</w:t>
      </w:r>
      <w:r w:rsidR="00B90326">
        <w:rPr>
          <w:rFonts w:ascii="Corbel" w:eastAsia="MS Mincho" w:hAnsi="Corbel" w:cs="Arial"/>
          <w:iCs/>
          <w:sz w:val="22"/>
          <w:szCs w:val="22"/>
          <w:lang w:val="en-GB"/>
        </w:rPr>
        <w:t xml:space="preserve"> would be to:</w:t>
      </w:r>
    </w:p>
    <w:p w14:paraId="53E2E276" w14:textId="77777777" w:rsidR="00A9262A" w:rsidRDefault="006B3B8B" w:rsidP="000168EC">
      <w:pPr>
        <w:pStyle w:val="ListParagraph"/>
        <w:numPr>
          <w:ilvl w:val="0"/>
          <w:numId w:val="29"/>
        </w:numPr>
        <w:tabs>
          <w:tab w:val="left" w:pos="360"/>
        </w:tabs>
        <w:spacing w:before="120" w:after="120" w:line="300" w:lineRule="exact"/>
        <w:contextualSpacing w:val="0"/>
        <w:jc w:val="both"/>
        <w:rPr>
          <w:rFonts w:ascii="Corbel" w:eastAsia="MS Mincho" w:hAnsi="Corbel" w:cs="Arial"/>
          <w:iCs/>
          <w:sz w:val="22"/>
          <w:szCs w:val="22"/>
          <w:lang w:val="en-GB"/>
        </w:rPr>
      </w:pPr>
      <w:r>
        <w:rPr>
          <w:rFonts w:ascii="Corbel" w:eastAsia="MS Mincho" w:hAnsi="Corbel" w:cs="Arial"/>
          <w:sz w:val="22"/>
          <w:szCs w:val="22"/>
          <w:lang w:val="en-GB"/>
        </w:rPr>
        <w:t xml:space="preserve">promote the </w:t>
      </w:r>
      <w:r w:rsidRPr="00DC6ED5">
        <w:rPr>
          <w:rFonts w:ascii="Corbel" w:eastAsia="MS Mincho" w:hAnsi="Corbel" w:cs="Arial"/>
          <w:iCs/>
          <w:sz w:val="22"/>
          <w:szCs w:val="22"/>
          <w:lang w:val="en-GB"/>
        </w:rPr>
        <w:t>nationalization of regional commitments into national regulatory framework</w:t>
      </w:r>
      <w:r>
        <w:rPr>
          <w:rFonts w:ascii="Corbel" w:eastAsia="MS Mincho" w:hAnsi="Corbel" w:cs="Arial"/>
          <w:iCs/>
          <w:sz w:val="22"/>
          <w:szCs w:val="22"/>
          <w:lang w:val="en-GB"/>
        </w:rPr>
        <w:t>s to s</w:t>
      </w:r>
      <w:r w:rsidRPr="00DC6ED5">
        <w:rPr>
          <w:rFonts w:ascii="Corbel" w:eastAsia="MS Mincho" w:hAnsi="Corbel" w:cs="Arial"/>
          <w:iCs/>
          <w:sz w:val="22"/>
          <w:szCs w:val="22"/>
          <w:lang w:val="en-GB"/>
        </w:rPr>
        <w:t xml:space="preserve">trengthen the political will </w:t>
      </w:r>
      <w:r>
        <w:rPr>
          <w:rFonts w:ascii="Corbel" w:eastAsia="MS Mincho" w:hAnsi="Corbel" w:cs="Arial"/>
          <w:iCs/>
          <w:sz w:val="22"/>
          <w:szCs w:val="22"/>
          <w:lang w:val="en-GB"/>
        </w:rPr>
        <w:t xml:space="preserve">to comply with PAFTA provisions among </w:t>
      </w:r>
      <w:r w:rsidRPr="00DC6ED5">
        <w:rPr>
          <w:rFonts w:ascii="Corbel" w:eastAsia="MS Mincho" w:hAnsi="Corbel" w:cs="Arial"/>
          <w:iCs/>
          <w:sz w:val="22"/>
          <w:szCs w:val="22"/>
          <w:lang w:val="en-GB"/>
        </w:rPr>
        <w:t>Arab countries</w:t>
      </w:r>
      <w:r w:rsidR="00A9262A">
        <w:rPr>
          <w:rFonts w:ascii="Corbel" w:eastAsia="MS Mincho" w:hAnsi="Corbel" w:cs="Arial"/>
          <w:iCs/>
          <w:sz w:val="22"/>
          <w:szCs w:val="22"/>
          <w:lang w:val="en-GB"/>
        </w:rPr>
        <w:t>.</w:t>
      </w:r>
      <w:r w:rsidRPr="00DC6ED5">
        <w:rPr>
          <w:rFonts w:ascii="Corbel" w:eastAsia="MS Mincho" w:hAnsi="Corbel" w:cs="Arial"/>
          <w:iCs/>
          <w:sz w:val="22"/>
          <w:szCs w:val="22"/>
          <w:lang w:val="en-GB"/>
        </w:rPr>
        <w:t xml:space="preserve"> </w:t>
      </w:r>
    </w:p>
    <w:p w14:paraId="191BA44A" w14:textId="4A87FE4E" w:rsidR="00207A1E" w:rsidRPr="00A9262A" w:rsidRDefault="00821FDE" w:rsidP="000168EC">
      <w:pPr>
        <w:pStyle w:val="ListParagraph"/>
        <w:numPr>
          <w:ilvl w:val="0"/>
          <w:numId w:val="29"/>
        </w:numPr>
        <w:tabs>
          <w:tab w:val="left" w:pos="360"/>
        </w:tabs>
        <w:spacing w:before="120" w:after="120" w:line="300" w:lineRule="exact"/>
        <w:contextualSpacing w:val="0"/>
        <w:jc w:val="both"/>
        <w:rPr>
          <w:rFonts w:ascii="Corbel" w:eastAsia="MS Mincho" w:hAnsi="Corbel" w:cs="Arial"/>
          <w:iCs/>
          <w:sz w:val="22"/>
          <w:szCs w:val="22"/>
          <w:lang w:val="en-GB"/>
        </w:rPr>
      </w:pPr>
      <w:r>
        <w:rPr>
          <w:rFonts w:ascii="Corbel" w:eastAsia="MS Mincho" w:hAnsi="Corbel" w:cs="Arial"/>
          <w:iCs/>
          <w:sz w:val="22"/>
          <w:szCs w:val="22"/>
          <w:lang w:val="en-GB"/>
        </w:rPr>
        <w:t xml:space="preserve">The </w:t>
      </w:r>
      <w:r w:rsidRPr="00A9262A">
        <w:rPr>
          <w:rFonts w:ascii="Corbel" w:eastAsia="MS Mincho" w:hAnsi="Corbel" w:cs="Arial"/>
          <w:iCs/>
          <w:sz w:val="22"/>
          <w:szCs w:val="22"/>
          <w:lang w:val="en-GB"/>
        </w:rPr>
        <w:t xml:space="preserve">establishment </w:t>
      </w:r>
      <w:r>
        <w:rPr>
          <w:rFonts w:ascii="Corbel" w:eastAsia="MS Mincho" w:hAnsi="Corbel" w:cs="Arial"/>
          <w:iCs/>
          <w:sz w:val="22"/>
          <w:szCs w:val="22"/>
          <w:lang w:val="en-GB"/>
        </w:rPr>
        <w:t xml:space="preserve">of </w:t>
      </w:r>
      <w:r w:rsidRPr="00A9262A">
        <w:rPr>
          <w:rFonts w:ascii="Corbel" w:eastAsia="MS Mincho" w:hAnsi="Corbel" w:cs="Arial"/>
          <w:iCs/>
          <w:sz w:val="22"/>
          <w:szCs w:val="22"/>
          <w:lang w:val="en-GB"/>
        </w:rPr>
        <w:t xml:space="preserve">an </w:t>
      </w:r>
      <w:r w:rsidRPr="00A9262A">
        <w:rPr>
          <w:rFonts w:ascii="Corbel" w:hAnsi="Corbel" w:cs="Arial"/>
          <w:sz w:val="22"/>
          <w:szCs w:val="22"/>
          <w:lang w:val="en-GB"/>
        </w:rPr>
        <w:t>Arab Trade Repository (</w:t>
      </w:r>
      <w:r w:rsidRPr="00A9262A">
        <w:rPr>
          <w:rFonts w:ascii="Corbel" w:eastAsia="MS Mincho" w:hAnsi="Corbel" w:cs="Arial"/>
          <w:iCs/>
          <w:sz w:val="22"/>
          <w:szCs w:val="22"/>
          <w:lang w:val="en-GB"/>
        </w:rPr>
        <w:t>national and regional mechanisms to improve transparency and monitor progress) to</w:t>
      </w:r>
      <w:r w:rsidRPr="00A9262A">
        <w:rPr>
          <w:rFonts w:ascii="Corbel" w:hAnsi="Corbel" w:cs="Arial"/>
          <w:sz w:val="22"/>
          <w:szCs w:val="22"/>
          <w:lang w:val="en-GB"/>
        </w:rPr>
        <w:t xml:space="preserve"> complement the Uniformed Report of PAFTA adopted by ECOSOC.</w:t>
      </w:r>
      <w:r w:rsidR="00E4565B">
        <w:rPr>
          <w:rFonts w:ascii="Corbel" w:hAnsi="Corbel" w:cs="Arial"/>
          <w:sz w:val="22"/>
          <w:szCs w:val="22"/>
          <w:lang w:val="en-GB"/>
        </w:rPr>
        <w:t xml:space="preserve"> This can be promoted based on the good experience with p</w:t>
      </w:r>
      <w:r w:rsidR="00655919" w:rsidRPr="00A9262A">
        <w:rPr>
          <w:rFonts w:ascii="Corbel" w:eastAsia="MS Mincho" w:hAnsi="Corbel" w:cs="Arial"/>
          <w:iCs/>
          <w:sz w:val="22"/>
          <w:szCs w:val="22"/>
          <w:lang w:val="en-GB"/>
        </w:rPr>
        <w:t>rocedures</w:t>
      </w:r>
      <w:r w:rsidR="00E55AB6" w:rsidRPr="00A9262A">
        <w:rPr>
          <w:rFonts w:ascii="Corbel" w:eastAsia="MS Mincho" w:hAnsi="Corbel" w:cs="Arial"/>
          <w:iCs/>
          <w:sz w:val="22"/>
          <w:szCs w:val="22"/>
          <w:lang w:val="en-GB"/>
        </w:rPr>
        <w:t xml:space="preserve"> for the</w:t>
      </w:r>
      <w:r w:rsidR="006C4875" w:rsidRPr="00A9262A">
        <w:rPr>
          <w:rFonts w:ascii="Corbel" w:eastAsia="MS Mincho" w:hAnsi="Corbel" w:cs="Arial"/>
          <w:iCs/>
          <w:sz w:val="22"/>
          <w:szCs w:val="22"/>
          <w:lang w:val="en-GB"/>
        </w:rPr>
        <w:t xml:space="preserve"> timely dissemination of new </w:t>
      </w:r>
      <w:r w:rsidR="00E55AB6" w:rsidRPr="00A9262A">
        <w:rPr>
          <w:rFonts w:ascii="Corbel" w:eastAsia="MS Mincho" w:hAnsi="Corbel" w:cs="Arial"/>
          <w:iCs/>
          <w:sz w:val="22"/>
          <w:szCs w:val="22"/>
          <w:lang w:val="en-GB"/>
        </w:rPr>
        <w:t xml:space="preserve">trade </w:t>
      </w:r>
      <w:r w:rsidR="006C4875" w:rsidRPr="00A9262A">
        <w:rPr>
          <w:rFonts w:ascii="Corbel" w:eastAsia="MS Mincho" w:hAnsi="Corbel" w:cs="Arial"/>
          <w:iCs/>
          <w:sz w:val="22"/>
          <w:szCs w:val="22"/>
          <w:lang w:val="en-GB"/>
        </w:rPr>
        <w:t>regulation</w:t>
      </w:r>
      <w:r w:rsidR="00E55AB6" w:rsidRPr="00A9262A">
        <w:rPr>
          <w:rFonts w:ascii="Corbel" w:eastAsia="MS Mincho" w:hAnsi="Corbel" w:cs="Arial"/>
          <w:iCs/>
          <w:sz w:val="22"/>
          <w:szCs w:val="22"/>
          <w:lang w:val="en-GB"/>
        </w:rPr>
        <w:t>s</w:t>
      </w:r>
      <w:r w:rsidR="006C4875" w:rsidRPr="00A9262A">
        <w:rPr>
          <w:rFonts w:ascii="Corbel" w:eastAsia="MS Mincho" w:hAnsi="Corbel" w:cs="Arial"/>
          <w:iCs/>
          <w:sz w:val="22"/>
          <w:szCs w:val="22"/>
          <w:lang w:val="en-GB"/>
        </w:rPr>
        <w:t xml:space="preserve"> </w:t>
      </w:r>
      <w:r w:rsidR="002200FE" w:rsidRPr="00A9262A">
        <w:rPr>
          <w:rFonts w:ascii="Corbel" w:eastAsia="MS Mincho" w:hAnsi="Corbel" w:cs="Arial"/>
          <w:iCs/>
          <w:sz w:val="22"/>
          <w:szCs w:val="22"/>
          <w:lang w:val="en-GB"/>
        </w:rPr>
        <w:t xml:space="preserve">triggered by the uncertainties caused by COVID19, </w:t>
      </w:r>
      <w:r w:rsidR="00E4565B">
        <w:rPr>
          <w:rFonts w:ascii="Corbel" w:eastAsia="MS Mincho" w:hAnsi="Corbel" w:cs="Arial"/>
          <w:iCs/>
          <w:sz w:val="22"/>
          <w:szCs w:val="22"/>
          <w:lang w:val="en-GB"/>
        </w:rPr>
        <w:t xml:space="preserve">which </w:t>
      </w:r>
      <w:r w:rsidR="009121CE" w:rsidRPr="00A9262A">
        <w:rPr>
          <w:rFonts w:ascii="Corbel" w:eastAsia="MS Mincho" w:hAnsi="Corbel" w:cs="Arial"/>
          <w:iCs/>
          <w:sz w:val="22"/>
          <w:szCs w:val="22"/>
          <w:lang w:val="en-GB"/>
        </w:rPr>
        <w:t>increased predictability for trade operators</w:t>
      </w:r>
      <w:r w:rsidR="00E4565B">
        <w:rPr>
          <w:rFonts w:ascii="Corbel" w:eastAsia="MS Mincho" w:hAnsi="Corbel" w:cs="Arial"/>
          <w:iCs/>
          <w:sz w:val="22"/>
          <w:szCs w:val="22"/>
          <w:lang w:val="en-GB"/>
        </w:rPr>
        <w:t>.</w:t>
      </w:r>
      <w:r w:rsidR="008254BA" w:rsidRPr="00A9262A">
        <w:rPr>
          <w:rFonts w:ascii="Corbel" w:eastAsia="MS Mincho" w:hAnsi="Corbel" w:cs="Arial"/>
          <w:iCs/>
          <w:sz w:val="22"/>
          <w:szCs w:val="22"/>
          <w:lang w:val="en-GB"/>
        </w:rPr>
        <w:t xml:space="preserve"> </w:t>
      </w:r>
    </w:p>
    <w:p w14:paraId="3805EFF9" w14:textId="436F55A7" w:rsidR="00E61D1F" w:rsidRDefault="00E61D1F" w:rsidP="001B1520">
      <w:pPr>
        <w:tabs>
          <w:tab w:val="left" w:pos="360"/>
        </w:tabs>
        <w:spacing w:before="120" w:after="120" w:line="300" w:lineRule="exact"/>
        <w:jc w:val="both"/>
        <w:rPr>
          <w:rFonts w:ascii="Corbel" w:hAnsi="Corbel" w:cs="Arial"/>
          <w:iCs/>
          <w:sz w:val="22"/>
          <w:szCs w:val="22"/>
          <w:u w:val="single"/>
          <w:lang w:val="en-GB"/>
        </w:rPr>
      </w:pPr>
      <w:r w:rsidRPr="00AE5B8C">
        <w:rPr>
          <w:rFonts w:ascii="Corbel" w:hAnsi="Corbel" w:cs="Arial"/>
          <w:iCs/>
          <w:sz w:val="22"/>
          <w:szCs w:val="22"/>
          <w:u w:val="single"/>
          <w:lang w:val="en-GB"/>
        </w:rPr>
        <w:lastRenderedPageBreak/>
        <w:t xml:space="preserve">Recommendation </w:t>
      </w:r>
      <w:r w:rsidR="005A7EF8">
        <w:rPr>
          <w:rFonts w:ascii="Corbel" w:hAnsi="Corbel" w:cs="Arial"/>
          <w:iCs/>
          <w:sz w:val="22"/>
          <w:szCs w:val="22"/>
          <w:u w:val="single"/>
          <w:lang w:val="en-GB"/>
        </w:rPr>
        <w:t>5</w:t>
      </w:r>
      <w:r w:rsidRPr="00AE5B8C">
        <w:rPr>
          <w:rFonts w:ascii="Corbel" w:hAnsi="Corbel" w:cs="Arial"/>
          <w:iCs/>
          <w:sz w:val="22"/>
          <w:szCs w:val="22"/>
          <w:lang w:val="en-GB"/>
        </w:rPr>
        <w:t xml:space="preserve">. </w:t>
      </w:r>
      <w:r w:rsidR="00E0607F">
        <w:rPr>
          <w:rFonts w:ascii="Corbel" w:hAnsi="Corbel" w:cs="Arial"/>
          <w:sz w:val="22"/>
          <w:szCs w:val="22"/>
          <w:lang w:val="en-GB"/>
        </w:rPr>
        <w:t>Keep fostering the adoption of automated and digitized trade processes among trade authorities and operators to enhance efficiency and transparency</w:t>
      </w:r>
      <w:r w:rsidR="005A38E1">
        <w:rPr>
          <w:rFonts w:ascii="Corbel" w:hAnsi="Corbel" w:cs="Arial"/>
          <w:sz w:val="22"/>
          <w:szCs w:val="22"/>
          <w:lang w:val="en-GB"/>
        </w:rPr>
        <w:t>.</w:t>
      </w:r>
      <w:r w:rsidR="00E0607F" w:rsidRPr="00AE5B8C">
        <w:rPr>
          <w:rFonts w:ascii="Corbel" w:hAnsi="Corbel" w:cs="Arial"/>
          <w:iCs/>
          <w:sz w:val="22"/>
          <w:szCs w:val="22"/>
          <w:lang w:val="en-GB"/>
        </w:rPr>
        <w:t xml:space="preserve"> </w:t>
      </w:r>
      <w:r w:rsidRPr="00AE5B8C">
        <w:rPr>
          <w:rFonts w:ascii="Corbel" w:hAnsi="Corbel" w:cs="Arial"/>
          <w:iCs/>
          <w:sz w:val="22"/>
          <w:szCs w:val="22"/>
          <w:lang w:val="en-GB"/>
        </w:rPr>
        <w:t xml:space="preserve">Address the importance of digital transformation for the delivery of trade services, including opportunities to boost e-commerce. </w:t>
      </w:r>
      <w:r>
        <w:rPr>
          <w:rFonts w:ascii="Corbel" w:hAnsi="Corbel" w:cs="Arial"/>
          <w:iCs/>
          <w:sz w:val="22"/>
          <w:szCs w:val="22"/>
          <w:lang w:val="en-GB"/>
        </w:rPr>
        <w:t>Future</w:t>
      </w:r>
      <w:r w:rsidRPr="00AE5B8C">
        <w:rPr>
          <w:rFonts w:ascii="Corbel" w:hAnsi="Corbel" w:cs="Arial"/>
          <w:iCs/>
          <w:sz w:val="22"/>
          <w:szCs w:val="22"/>
          <w:lang w:val="en-GB"/>
        </w:rPr>
        <w:t xml:space="preserve"> project</w:t>
      </w:r>
      <w:r>
        <w:rPr>
          <w:rFonts w:ascii="Corbel" w:hAnsi="Corbel" w:cs="Arial"/>
          <w:iCs/>
          <w:sz w:val="22"/>
          <w:szCs w:val="22"/>
          <w:lang w:val="en-GB"/>
        </w:rPr>
        <w:t>s</w:t>
      </w:r>
      <w:r w:rsidRPr="00AE5B8C">
        <w:rPr>
          <w:rFonts w:ascii="Corbel" w:hAnsi="Corbel" w:cs="Arial"/>
          <w:iCs/>
          <w:sz w:val="22"/>
          <w:szCs w:val="22"/>
          <w:lang w:val="en-GB"/>
        </w:rPr>
        <w:t xml:space="preserve"> should increase the awareness of the public and private sectors on digital trade trends and </w:t>
      </w:r>
      <w:r>
        <w:rPr>
          <w:rFonts w:ascii="Corbel" w:hAnsi="Corbel" w:cs="Arial"/>
          <w:iCs/>
          <w:sz w:val="22"/>
          <w:szCs w:val="22"/>
          <w:lang w:val="en-GB"/>
        </w:rPr>
        <w:t xml:space="preserve">contribute to digital </w:t>
      </w:r>
      <w:r w:rsidRPr="00AE5B8C">
        <w:rPr>
          <w:rFonts w:ascii="Corbel" w:hAnsi="Corbel" w:cs="Arial"/>
          <w:iCs/>
          <w:sz w:val="22"/>
          <w:szCs w:val="22"/>
          <w:lang w:val="en-GB"/>
        </w:rPr>
        <w:t>infrastructure support. For example, the project could provide new digital tools, then work to develop the capacity of staff to use these tools effectively.</w:t>
      </w:r>
    </w:p>
    <w:p w14:paraId="092F0ED8" w14:textId="7D0D7E32" w:rsidR="00E61D1F" w:rsidRPr="00537286" w:rsidRDefault="00E61D1F" w:rsidP="4F6DD0A6">
      <w:pPr>
        <w:tabs>
          <w:tab w:val="left" w:pos="360"/>
        </w:tabs>
        <w:spacing w:before="120" w:after="120" w:line="300" w:lineRule="exact"/>
        <w:jc w:val="both"/>
        <w:rPr>
          <w:rFonts w:ascii="Corbel" w:hAnsi="Corbel" w:cs="Arial"/>
          <w:sz w:val="22"/>
          <w:szCs w:val="22"/>
          <w:lang w:val="en-GB"/>
        </w:rPr>
      </w:pPr>
      <w:r w:rsidRPr="4F6DD0A6">
        <w:rPr>
          <w:rFonts w:ascii="Corbel" w:hAnsi="Corbel" w:cs="Arial"/>
          <w:sz w:val="22"/>
          <w:szCs w:val="22"/>
          <w:u w:val="single"/>
          <w:lang w:val="en-GB"/>
        </w:rPr>
        <w:t xml:space="preserve">Recommendation </w:t>
      </w:r>
      <w:r w:rsidR="005A38E1" w:rsidRPr="4F6DD0A6">
        <w:rPr>
          <w:rFonts w:ascii="Corbel" w:hAnsi="Corbel" w:cs="Arial"/>
          <w:sz w:val="22"/>
          <w:szCs w:val="22"/>
          <w:u w:val="single"/>
          <w:lang w:val="en-GB"/>
        </w:rPr>
        <w:t>6</w:t>
      </w:r>
      <w:r w:rsidRPr="4F6DD0A6">
        <w:rPr>
          <w:rFonts w:ascii="Corbel" w:hAnsi="Corbel" w:cs="Arial"/>
          <w:sz w:val="22"/>
          <w:szCs w:val="22"/>
          <w:lang w:val="en-GB"/>
        </w:rPr>
        <w:t xml:space="preserve">. Develop a clear and structured approach to assisting least-developed countries in building their trade-related capacity. This approach includes helping countries with information, policies, procedures, </w:t>
      </w:r>
      <w:proofErr w:type="gramStart"/>
      <w:r w:rsidRPr="4F6DD0A6">
        <w:rPr>
          <w:rFonts w:ascii="Corbel" w:hAnsi="Corbel" w:cs="Arial"/>
          <w:sz w:val="22"/>
          <w:szCs w:val="22"/>
          <w:lang w:val="en-GB"/>
        </w:rPr>
        <w:t>institutions</w:t>
      </w:r>
      <w:proofErr w:type="gramEnd"/>
      <w:r w:rsidRPr="4F6DD0A6">
        <w:rPr>
          <w:rFonts w:ascii="Corbel" w:hAnsi="Corbel" w:cs="Arial"/>
          <w:sz w:val="22"/>
          <w:szCs w:val="22"/>
          <w:lang w:val="en-GB"/>
        </w:rPr>
        <w:t xml:space="preserve"> and infrastructure and considering designing activities to encourage active knowledge-sharing </w:t>
      </w:r>
      <w:r w:rsidR="007C48A9" w:rsidRPr="4F6DD0A6">
        <w:rPr>
          <w:rFonts w:ascii="Corbel" w:hAnsi="Corbel" w:cs="Arial"/>
          <w:sz w:val="22"/>
          <w:szCs w:val="22"/>
          <w:lang w:val="en-GB"/>
        </w:rPr>
        <w:t>through</w:t>
      </w:r>
      <w:r w:rsidRPr="4F6DD0A6">
        <w:rPr>
          <w:rFonts w:ascii="Corbel" w:hAnsi="Corbel" w:cs="Arial"/>
          <w:sz w:val="22"/>
          <w:szCs w:val="22"/>
          <w:lang w:val="en-GB"/>
        </w:rPr>
        <w:t xml:space="preserve"> south-south </w:t>
      </w:r>
      <w:r w:rsidR="007C48A9" w:rsidRPr="4F6DD0A6">
        <w:rPr>
          <w:rFonts w:ascii="Corbel" w:hAnsi="Corbel" w:cs="Arial"/>
          <w:sz w:val="22"/>
          <w:szCs w:val="22"/>
          <w:lang w:val="en-GB"/>
        </w:rPr>
        <w:t>cooperation</w:t>
      </w:r>
      <w:r w:rsidR="000509BE" w:rsidRPr="4F6DD0A6">
        <w:rPr>
          <w:rFonts w:ascii="Corbel" w:hAnsi="Corbel" w:cs="Arial"/>
          <w:sz w:val="22"/>
          <w:szCs w:val="22"/>
          <w:lang w:val="en-GB"/>
        </w:rPr>
        <w:t xml:space="preserve">, </w:t>
      </w:r>
      <w:r w:rsidR="00A83C12" w:rsidRPr="4F6DD0A6">
        <w:rPr>
          <w:rFonts w:ascii="Corbel" w:hAnsi="Corbel" w:cs="Arial"/>
          <w:sz w:val="22"/>
          <w:szCs w:val="22"/>
          <w:lang w:val="en-GB"/>
        </w:rPr>
        <w:t>the improvement of</w:t>
      </w:r>
      <w:r w:rsidRPr="4F6DD0A6">
        <w:rPr>
          <w:rFonts w:ascii="Corbel" w:hAnsi="Corbel" w:cs="Arial"/>
          <w:sz w:val="22"/>
          <w:szCs w:val="22"/>
          <w:lang w:val="en-GB"/>
        </w:rPr>
        <w:t xml:space="preserve"> institutional learning and </w:t>
      </w:r>
      <w:r w:rsidR="00A83C12" w:rsidRPr="4F6DD0A6">
        <w:rPr>
          <w:rFonts w:ascii="Corbel" w:hAnsi="Corbel" w:cs="Arial"/>
          <w:sz w:val="22"/>
          <w:szCs w:val="22"/>
          <w:lang w:val="en-GB"/>
        </w:rPr>
        <w:t xml:space="preserve">the </w:t>
      </w:r>
      <w:r w:rsidRPr="4F6DD0A6">
        <w:rPr>
          <w:rFonts w:ascii="Corbel" w:hAnsi="Corbel" w:cs="Arial"/>
          <w:sz w:val="22"/>
          <w:szCs w:val="22"/>
          <w:lang w:val="en-GB"/>
        </w:rPr>
        <w:t>strengthen</w:t>
      </w:r>
      <w:r w:rsidR="00A83C12" w:rsidRPr="4F6DD0A6">
        <w:rPr>
          <w:rFonts w:ascii="Corbel" w:hAnsi="Corbel" w:cs="Arial"/>
          <w:sz w:val="22"/>
          <w:szCs w:val="22"/>
          <w:lang w:val="en-GB"/>
        </w:rPr>
        <w:t>ing of</w:t>
      </w:r>
      <w:r w:rsidRPr="4F6DD0A6">
        <w:rPr>
          <w:rFonts w:ascii="Corbel" w:hAnsi="Corbel" w:cs="Arial"/>
          <w:sz w:val="22"/>
          <w:szCs w:val="22"/>
          <w:lang w:val="en-GB"/>
        </w:rPr>
        <w:t xml:space="preserve"> institutional memory. Such actions will further help strengthen accountability </w:t>
      </w:r>
      <w:r w:rsidR="00A83C12" w:rsidRPr="4F6DD0A6">
        <w:rPr>
          <w:rFonts w:ascii="Corbel" w:hAnsi="Corbel" w:cs="Arial"/>
          <w:sz w:val="22"/>
          <w:szCs w:val="22"/>
          <w:lang w:val="en-GB"/>
        </w:rPr>
        <w:t xml:space="preserve">for </w:t>
      </w:r>
      <w:r w:rsidRPr="4F6DD0A6">
        <w:rPr>
          <w:rFonts w:ascii="Corbel" w:hAnsi="Corbel" w:cs="Arial"/>
          <w:sz w:val="22"/>
          <w:szCs w:val="22"/>
          <w:lang w:val="en-GB"/>
        </w:rPr>
        <w:t xml:space="preserve">and ownership of </w:t>
      </w:r>
      <w:r w:rsidR="00A83C12" w:rsidRPr="4F6DD0A6">
        <w:rPr>
          <w:rFonts w:ascii="Corbel" w:hAnsi="Corbel" w:cs="Arial"/>
          <w:sz w:val="22"/>
          <w:szCs w:val="22"/>
          <w:lang w:val="en-GB"/>
        </w:rPr>
        <w:t>t</w:t>
      </w:r>
      <w:r w:rsidRPr="4F6DD0A6">
        <w:rPr>
          <w:rFonts w:ascii="Corbel" w:hAnsi="Corbel" w:cs="Arial"/>
          <w:sz w:val="22"/>
          <w:szCs w:val="22"/>
          <w:lang w:val="en-GB"/>
        </w:rPr>
        <w:t>rade</w:t>
      </w:r>
      <w:r w:rsidR="00A83C12" w:rsidRPr="4F6DD0A6">
        <w:rPr>
          <w:rFonts w:ascii="Corbel" w:hAnsi="Corbel" w:cs="Arial"/>
          <w:sz w:val="22"/>
          <w:szCs w:val="22"/>
          <w:lang w:val="en-GB"/>
        </w:rPr>
        <w:t xml:space="preserve"> policies</w:t>
      </w:r>
      <w:r w:rsidRPr="4F6DD0A6">
        <w:rPr>
          <w:rFonts w:ascii="Corbel" w:hAnsi="Corbel" w:cs="Arial"/>
          <w:sz w:val="22"/>
          <w:szCs w:val="22"/>
          <w:lang w:val="en-GB"/>
        </w:rPr>
        <w:t>.</w:t>
      </w:r>
    </w:p>
    <w:p w14:paraId="108D6569" w14:textId="79628D18" w:rsidR="003957BB" w:rsidRDefault="008528E2" w:rsidP="00F46CAD">
      <w:pPr>
        <w:pStyle w:val="ListParagraph"/>
        <w:tabs>
          <w:tab w:val="left" w:pos="360"/>
        </w:tabs>
        <w:spacing w:before="120" w:after="120" w:line="300" w:lineRule="exact"/>
        <w:ind w:left="0"/>
        <w:contextualSpacing w:val="0"/>
        <w:jc w:val="both"/>
        <w:rPr>
          <w:rFonts w:ascii="Corbel" w:hAnsi="Corbel" w:cs="Arial"/>
          <w:i/>
          <w:sz w:val="22"/>
          <w:szCs w:val="22"/>
          <w:u w:val="single"/>
          <w:lang w:val="en-GB"/>
        </w:rPr>
      </w:pPr>
      <w:r w:rsidRPr="002C32E6">
        <w:rPr>
          <w:rFonts w:ascii="Corbel" w:eastAsia="MS Mincho" w:hAnsi="Corbel" w:cs="Arial"/>
          <w:iCs/>
          <w:sz w:val="22"/>
          <w:szCs w:val="22"/>
          <w:u w:val="single"/>
          <w:lang w:val="en-GB"/>
        </w:rPr>
        <w:t xml:space="preserve">Recommendation </w:t>
      </w:r>
      <w:r w:rsidR="00E201F0">
        <w:rPr>
          <w:rFonts w:ascii="Corbel" w:eastAsia="MS Mincho" w:hAnsi="Corbel" w:cs="Arial"/>
          <w:iCs/>
          <w:sz w:val="22"/>
          <w:szCs w:val="22"/>
          <w:u w:val="single"/>
          <w:lang w:val="en-GB"/>
        </w:rPr>
        <w:t>7</w:t>
      </w:r>
      <w:r w:rsidRPr="008528E2">
        <w:rPr>
          <w:rFonts w:ascii="Corbel" w:eastAsia="MS Mincho" w:hAnsi="Corbel" w:cs="Arial"/>
          <w:iCs/>
          <w:sz w:val="22"/>
          <w:szCs w:val="22"/>
          <w:lang w:val="en-GB"/>
        </w:rPr>
        <w:t xml:space="preserve">. Implement project governance mechanisms to ensure corrective action and sustainability beyond a project’s duration. These can inform the division of tasks and roles amongst implementing parties or project partners. </w:t>
      </w:r>
      <w:r w:rsidR="00315FC5">
        <w:rPr>
          <w:rFonts w:ascii="Corbel" w:eastAsia="MS Mincho" w:hAnsi="Corbel" w:cs="Arial"/>
          <w:iCs/>
          <w:sz w:val="22"/>
          <w:szCs w:val="22"/>
          <w:lang w:val="en-GB"/>
        </w:rPr>
        <w:t>T</w:t>
      </w:r>
      <w:r w:rsidRPr="008528E2">
        <w:rPr>
          <w:rFonts w:ascii="Corbel" w:eastAsia="MS Mincho" w:hAnsi="Corbel" w:cs="Arial"/>
          <w:iCs/>
          <w:sz w:val="22"/>
          <w:szCs w:val="22"/>
          <w:lang w:val="en-GB"/>
        </w:rPr>
        <w:t xml:space="preserve">he project oversight can be strengthened by designing, </w:t>
      </w:r>
      <w:proofErr w:type="gramStart"/>
      <w:r w:rsidRPr="008528E2">
        <w:rPr>
          <w:rFonts w:ascii="Corbel" w:eastAsia="MS Mincho" w:hAnsi="Corbel" w:cs="Arial"/>
          <w:iCs/>
          <w:sz w:val="22"/>
          <w:szCs w:val="22"/>
          <w:lang w:val="en-GB"/>
        </w:rPr>
        <w:t>activating</w:t>
      </w:r>
      <w:proofErr w:type="gramEnd"/>
      <w:r w:rsidRPr="008528E2">
        <w:rPr>
          <w:rFonts w:ascii="Corbel" w:eastAsia="MS Mincho" w:hAnsi="Corbel" w:cs="Arial"/>
          <w:iCs/>
          <w:sz w:val="22"/>
          <w:szCs w:val="22"/>
          <w:lang w:val="en-GB"/>
        </w:rPr>
        <w:t xml:space="preserve"> and consistently running a project steering committee that includes key stakeholders</w:t>
      </w:r>
      <w:r w:rsidR="00507C60">
        <w:rPr>
          <w:rFonts w:ascii="Corbel" w:eastAsia="MS Mincho" w:hAnsi="Corbel" w:cs="Arial"/>
          <w:iCs/>
          <w:sz w:val="22"/>
          <w:szCs w:val="22"/>
          <w:lang w:val="en-GB"/>
        </w:rPr>
        <w:t xml:space="preserve"> and</w:t>
      </w:r>
      <w:r w:rsidR="001C70E4">
        <w:rPr>
          <w:rFonts w:ascii="Corbel" w:eastAsia="MS Mincho" w:hAnsi="Corbel" w:cs="Arial"/>
          <w:iCs/>
          <w:sz w:val="22"/>
          <w:szCs w:val="22"/>
          <w:lang w:val="en-GB"/>
        </w:rPr>
        <w:t>/or a</w:t>
      </w:r>
      <w:r w:rsidRPr="008528E2">
        <w:rPr>
          <w:rFonts w:ascii="Corbel" w:eastAsia="MS Mincho" w:hAnsi="Corbel" w:cs="Arial"/>
          <w:iCs/>
          <w:sz w:val="22"/>
          <w:szCs w:val="22"/>
          <w:lang w:val="en-GB"/>
        </w:rPr>
        <w:t xml:space="preserve"> project advisory board that can trigger timely corrective action to optimise synchronicity between all stakeholders, as well as adequate risk identification and management. </w:t>
      </w:r>
      <w:r w:rsidR="003957BB">
        <w:rPr>
          <w:rFonts w:ascii="Corbel" w:hAnsi="Corbel" w:cs="Arial"/>
          <w:i/>
          <w:sz w:val="22"/>
          <w:szCs w:val="22"/>
          <w:u w:val="single"/>
          <w:lang w:val="en-GB"/>
        </w:rPr>
        <w:br w:type="page"/>
      </w:r>
    </w:p>
    <w:p w14:paraId="3789748A" w14:textId="27A608C9" w:rsidR="005D7F1A" w:rsidRDefault="005D7F1A" w:rsidP="00EC72A4">
      <w:pPr>
        <w:pStyle w:val="Heading1"/>
        <w:rPr>
          <w:lang w:val="en-GB"/>
        </w:rPr>
      </w:pPr>
      <w:bookmarkStart w:id="219" w:name="_Toc103506750"/>
      <w:r w:rsidRPr="00EF1F01">
        <w:rPr>
          <w:lang w:val="en-GB"/>
        </w:rPr>
        <w:lastRenderedPageBreak/>
        <w:t>V. Risk</w:t>
      </w:r>
      <w:r w:rsidR="00B71290">
        <w:rPr>
          <w:lang w:val="en-GB"/>
        </w:rPr>
        <w:t>s</w:t>
      </w:r>
      <w:r w:rsidRPr="00EF1F01">
        <w:rPr>
          <w:lang w:val="en-GB"/>
        </w:rPr>
        <w:t xml:space="preserve"> and Mitigation Measures</w:t>
      </w:r>
      <w:bookmarkEnd w:id="219"/>
      <w:r w:rsidRPr="00EF1F01">
        <w:rPr>
          <w:lang w:val="en-GB"/>
        </w:rPr>
        <w:t xml:space="preserve"> </w:t>
      </w:r>
    </w:p>
    <w:p w14:paraId="7216740E" w14:textId="77777777" w:rsidR="00B02925" w:rsidRPr="00EF1F01" w:rsidRDefault="00B02925" w:rsidP="005D7F1A">
      <w:pPr>
        <w:pStyle w:val="ListParagraph"/>
        <w:ind w:hanging="720"/>
        <w:outlineLvl w:val="0"/>
        <w:rPr>
          <w:rFonts w:ascii="Corbel" w:eastAsia="MS Mincho" w:hAnsi="Corbel" w:cs="Arial"/>
          <w:b/>
          <w:color w:val="1F497D"/>
          <w:sz w:val="28"/>
          <w:szCs w:val="28"/>
          <w:lang w:val="en-GB" w:eastAsia="ja-JP"/>
        </w:rPr>
      </w:pPr>
    </w:p>
    <w:p w14:paraId="647E50E8" w14:textId="4553430C" w:rsidR="00B2018A" w:rsidRPr="00EF1F01" w:rsidRDefault="00B2018A" w:rsidP="00B2018A">
      <w:pPr>
        <w:outlineLvl w:val="0"/>
        <w:rPr>
          <w:rFonts w:ascii="Corbel" w:hAnsi="Corbel" w:cs="Arial"/>
          <w:b/>
          <w:sz w:val="22"/>
          <w:szCs w:val="22"/>
        </w:rPr>
      </w:pPr>
      <w:bookmarkStart w:id="220" w:name="_Toc103506751"/>
      <w:r w:rsidRPr="00EF1F01">
        <w:rPr>
          <w:rFonts w:ascii="Corbel" w:hAnsi="Corbel" w:cs="Arial"/>
          <w:b/>
          <w:sz w:val="28"/>
          <w:szCs w:val="28"/>
        </w:rPr>
        <w:t>Risk Log</w:t>
      </w:r>
      <w:bookmarkEnd w:id="220"/>
    </w:p>
    <w:tbl>
      <w:tblPr>
        <w:tblW w:w="10260" w:type="dxa"/>
        <w:jc w:val="center"/>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Look w:val="04A0" w:firstRow="1" w:lastRow="0" w:firstColumn="1" w:lastColumn="0" w:noHBand="0" w:noVBand="1"/>
      </w:tblPr>
      <w:tblGrid>
        <w:gridCol w:w="3676"/>
        <w:gridCol w:w="6584"/>
      </w:tblGrid>
      <w:tr w:rsidR="00B2018A" w:rsidRPr="00EF1F01" w14:paraId="1699EF55" w14:textId="77777777" w:rsidTr="00DE7B12">
        <w:trPr>
          <w:trHeight w:val="356"/>
          <w:tblHeader/>
          <w:jc w:val="center"/>
        </w:trPr>
        <w:tc>
          <w:tcPr>
            <w:tcW w:w="3676" w:type="dxa"/>
            <w:shd w:val="clear" w:color="auto" w:fill="0070C0"/>
          </w:tcPr>
          <w:p w14:paraId="67FFCB0C" w14:textId="77777777" w:rsidR="00B2018A" w:rsidRPr="00EF1F01" w:rsidRDefault="00B2018A" w:rsidP="009742A5">
            <w:pPr>
              <w:widowControl w:val="0"/>
              <w:spacing w:before="60" w:after="60" w:line="264" w:lineRule="auto"/>
              <w:ind w:right="20"/>
              <w:jc w:val="center"/>
              <w:outlineLvl w:val="0"/>
              <w:rPr>
                <w:rFonts w:ascii="Corbel" w:hAnsi="Corbel"/>
                <w:b/>
                <w:sz w:val="21"/>
                <w:szCs w:val="21"/>
              </w:rPr>
            </w:pPr>
            <w:bookmarkStart w:id="221" w:name="_Toc103506752"/>
            <w:r w:rsidRPr="00EF1F01">
              <w:rPr>
                <w:rFonts w:ascii="Corbel" w:hAnsi="Corbel"/>
                <w:b/>
                <w:sz w:val="21"/>
                <w:szCs w:val="21"/>
              </w:rPr>
              <w:t>Risks</w:t>
            </w:r>
            <w:bookmarkEnd w:id="221"/>
          </w:p>
        </w:tc>
        <w:tc>
          <w:tcPr>
            <w:tcW w:w="6584" w:type="dxa"/>
            <w:shd w:val="clear" w:color="auto" w:fill="0070C0"/>
          </w:tcPr>
          <w:p w14:paraId="5B1D8591" w14:textId="77777777" w:rsidR="00B2018A" w:rsidRPr="00EF1F01" w:rsidRDefault="00B2018A" w:rsidP="009742A5">
            <w:pPr>
              <w:widowControl w:val="0"/>
              <w:spacing w:before="60" w:after="60" w:line="264" w:lineRule="auto"/>
              <w:ind w:right="20"/>
              <w:jc w:val="center"/>
              <w:outlineLvl w:val="0"/>
              <w:rPr>
                <w:rFonts w:ascii="Corbel" w:hAnsi="Corbel"/>
                <w:b/>
                <w:sz w:val="21"/>
                <w:szCs w:val="21"/>
              </w:rPr>
            </w:pPr>
            <w:bookmarkStart w:id="222" w:name="_Toc103506753"/>
            <w:r w:rsidRPr="00EF1F01">
              <w:rPr>
                <w:rFonts w:ascii="Corbel" w:hAnsi="Corbel"/>
                <w:b/>
                <w:sz w:val="21"/>
                <w:szCs w:val="21"/>
              </w:rPr>
              <w:t>Mitigation Measures</w:t>
            </w:r>
            <w:bookmarkEnd w:id="222"/>
          </w:p>
        </w:tc>
      </w:tr>
      <w:tr w:rsidR="00B2018A" w:rsidRPr="00EF1F01" w14:paraId="0E56E1BE" w14:textId="77777777" w:rsidTr="00DE7B12">
        <w:trPr>
          <w:trHeight w:val="1195"/>
          <w:jc w:val="center"/>
        </w:trPr>
        <w:tc>
          <w:tcPr>
            <w:tcW w:w="3676" w:type="dxa"/>
            <w:shd w:val="clear" w:color="auto" w:fill="auto"/>
          </w:tcPr>
          <w:p w14:paraId="2A7F59AF" w14:textId="77777777" w:rsidR="00B2018A" w:rsidRPr="00EF1F01" w:rsidRDefault="00B2018A" w:rsidP="009742A5">
            <w:pPr>
              <w:pStyle w:val="ListParagraph"/>
              <w:spacing w:before="120" w:after="120" w:line="300" w:lineRule="exact"/>
              <w:ind w:left="0"/>
              <w:contextualSpacing w:val="0"/>
              <w:jc w:val="both"/>
              <w:rPr>
                <w:rFonts w:ascii="Corbel" w:hAnsi="Corbel" w:cs="Arial"/>
                <w:sz w:val="21"/>
                <w:szCs w:val="21"/>
              </w:rPr>
            </w:pPr>
            <w:r w:rsidRPr="00EF1F01">
              <w:rPr>
                <w:rFonts w:ascii="Corbel" w:hAnsi="Corbel" w:cs="Arial"/>
                <w:bCs/>
                <w:sz w:val="21"/>
                <w:szCs w:val="21"/>
                <w:u w:val="single"/>
              </w:rPr>
              <w:t>Project Risk 1</w:t>
            </w:r>
            <w:r w:rsidRPr="00EF1F01">
              <w:rPr>
                <w:rFonts w:ascii="Corbel" w:hAnsi="Corbel" w:cs="Arial"/>
                <w:bCs/>
                <w:sz w:val="21"/>
                <w:szCs w:val="21"/>
                <w:lang w:val="en-US"/>
              </w:rPr>
              <w:t xml:space="preserve">: </w:t>
            </w:r>
            <w:r w:rsidRPr="00EF1F01">
              <w:rPr>
                <w:rFonts w:ascii="Corbel" w:hAnsi="Corbel" w:cs="Arial"/>
                <w:sz w:val="21"/>
                <w:szCs w:val="21"/>
                <w:lang w:val="en-US"/>
              </w:rPr>
              <w:t xml:space="preserve">Reluctance of member states in translating the political mandate of modernization and upgrading of Pan Arab Free Trade Area into a responsive legal framework with alignment to instruments of the multilateralism. </w:t>
            </w:r>
          </w:p>
        </w:tc>
        <w:tc>
          <w:tcPr>
            <w:tcW w:w="6584" w:type="dxa"/>
            <w:shd w:val="clear" w:color="auto" w:fill="auto"/>
          </w:tcPr>
          <w:p w14:paraId="72A06530" w14:textId="5931DE31" w:rsidR="00B2018A" w:rsidRPr="00EF1F01" w:rsidRDefault="00B2018A" w:rsidP="000168EC">
            <w:pPr>
              <w:numPr>
                <w:ilvl w:val="0"/>
                <w:numId w:val="6"/>
              </w:numPr>
              <w:spacing w:before="120" w:after="120" w:line="280" w:lineRule="exact"/>
              <w:jc w:val="both"/>
              <w:rPr>
                <w:rFonts w:ascii="Corbel" w:hAnsi="Corbel" w:cs="Arial"/>
                <w:strike/>
                <w:sz w:val="21"/>
                <w:szCs w:val="21"/>
              </w:rPr>
            </w:pPr>
            <w:r w:rsidRPr="00EF1F01">
              <w:rPr>
                <w:rFonts w:ascii="Corbel" w:hAnsi="Corbel" w:cs="Arial"/>
                <w:sz w:val="21"/>
                <w:szCs w:val="21"/>
              </w:rPr>
              <w:t>Due to COVID-19 implications, the ris</w:t>
            </w:r>
            <w:r w:rsidR="00AE29F8" w:rsidRPr="00EF1F01">
              <w:rPr>
                <w:rFonts w:ascii="Corbel" w:hAnsi="Corbel" w:cs="Arial"/>
                <w:sz w:val="21"/>
                <w:szCs w:val="21"/>
              </w:rPr>
              <w:t>k expanded</w:t>
            </w:r>
            <w:r w:rsidRPr="00EF1F01">
              <w:rPr>
                <w:rFonts w:ascii="Corbel" w:hAnsi="Corbel" w:cs="Arial"/>
                <w:sz w:val="21"/>
                <w:szCs w:val="21"/>
              </w:rPr>
              <w:t xml:space="preserve"> as member states are prioritizing the</w:t>
            </w:r>
            <w:r w:rsidR="00DE7B12">
              <w:rPr>
                <w:rFonts w:ascii="Corbel" w:hAnsi="Corbel" w:cs="Arial"/>
                <w:sz w:val="21"/>
                <w:szCs w:val="21"/>
              </w:rPr>
              <w:t>ir</w:t>
            </w:r>
            <w:r w:rsidRPr="00EF1F01">
              <w:rPr>
                <w:rFonts w:ascii="Corbel" w:hAnsi="Corbel" w:cs="Arial"/>
                <w:sz w:val="21"/>
                <w:szCs w:val="21"/>
              </w:rPr>
              <w:t xml:space="preserve"> national agenda over regional interventions. To mitigate this risk, UNDP continued cooperation with the League of Arab States and its technical committees to enhance technical knowledge on the application of trade measures and policies and economic multilateralism to translate political decisions into concrete reforms</w:t>
            </w:r>
            <w:r w:rsidR="00360D67">
              <w:rPr>
                <w:rFonts w:ascii="Corbel" w:hAnsi="Corbel" w:cs="Arial"/>
                <w:sz w:val="21"/>
                <w:szCs w:val="21"/>
              </w:rPr>
              <w:t>, including in response to the impact of the pandemic</w:t>
            </w:r>
            <w:r w:rsidRPr="00EF1F01">
              <w:rPr>
                <w:rFonts w:ascii="Corbel" w:hAnsi="Corbel" w:cs="Arial"/>
                <w:sz w:val="21"/>
                <w:szCs w:val="21"/>
              </w:rPr>
              <w:t xml:space="preserve">. </w:t>
            </w:r>
          </w:p>
        </w:tc>
      </w:tr>
      <w:tr w:rsidR="00B2018A" w:rsidRPr="00EF1F01" w14:paraId="04B58A5E" w14:textId="77777777" w:rsidTr="00DE7B12">
        <w:trPr>
          <w:trHeight w:val="1195"/>
          <w:jc w:val="center"/>
        </w:trPr>
        <w:tc>
          <w:tcPr>
            <w:tcW w:w="3676" w:type="dxa"/>
            <w:shd w:val="clear" w:color="auto" w:fill="auto"/>
          </w:tcPr>
          <w:p w14:paraId="361F00E1" w14:textId="0F6F6E7F" w:rsidR="00B2018A" w:rsidRPr="00EF1F01" w:rsidRDefault="00B2018A" w:rsidP="009742A5">
            <w:pPr>
              <w:pStyle w:val="ListParagraph"/>
              <w:spacing w:before="120" w:after="120" w:line="300" w:lineRule="exact"/>
              <w:ind w:left="0"/>
              <w:contextualSpacing w:val="0"/>
              <w:jc w:val="both"/>
              <w:rPr>
                <w:rFonts w:ascii="Corbel" w:hAnsi="Corbel" w:cs="Arial"/>
                <w:sz w:val="21"/>
                <w:szCs w:val="21"/>
              </w:rPr>
            </w:pPr>
            <w:r w:rsidRPr="00EF1F01">
              <w:rPr>
                <w:rFonts w:ascii="Corbel" w:hAnsi="Corbel" w:cs="Arial"/>
                <w:bCs/>
                <w:sz w:val="21"/>
                <w:szCs w:val="21"/>
                <w:u w:val="single"/>
              </w:rPr>
              <w:t xml:space="preserve">Project Risk </w:t>
            </w:r>
            <w:r w:rsidRPr="00EF1F01">
              <w:rPr>
                <w:rFonts w:ascii="Corbel" w:hAnsi="Corbel" w:cs="Arial"/>
                <w:bCs/>
                <w:sz w:val="21"/>
                <w:szCs w:val="21"/>
                <w:u w:val="single"/>
                <w:lang w:val="en-US"/>
              </w:rPr>
              <w:t>2</w:t>
            </w:r>
            <w:r w:rsidRPr="00EF1F01">
              <w:rPr>
                <w:rFonts w:ascii="Corbel" w:hAnsi="Corbel" w:cs="Arial"/>
                <w:bCs/>
                <w:sz w:val="21"/>
                <w:szCs w:val="21"/>
                <w:lang w:val="en-US"/>
              </w:rPr>
              <w:t xml:space="preserve">: </w:t>
            </w:r>
            <w:r w:rsidRPr="00EF1F01">
              <w:rPr>
                <w:rFonts w:ascii="Corbel" w:hAnsi="Corbel" w:cs="Arial"/>
                <w:sz w:val="21"/>
                <w:szCs w:val="21"/>
                <w:lang w:val="en-US"/>
              </w:rPr>
              <w:t>Inadequate technical capacity of design of the new regulatory framework within the League of Arab States, and the related lack of authority to ensure the adoption of new policy measures</w:t>
            </w:r>
            <w:r w:rsidR="00AE29F8" w:rsidRPr="00EF1F01">
              <w:rPr>
                <w:rFonts w:ascii="Corbel" w:hAnsi="Corbel" w:cs="Arial"/>
                <w:sz w:val="21"/>
                <w:szCs w:val="21"/>
                <w:lang w:val="en-US"/>
              </w:rPr>
              <w:t>.</w:t>
            </w:r>
          </w:p>
        </w:tc>
        <w:tc>
          <w:tcPr>
            <w:tcW w:w="6584" w:type="dxa"/>
            <w:shd w:val="clear" w:color="auto" w:fill="auto"/>
          </w:tcPr>
          <w:p w14:paraId="5E717CD2" w14:textId="2723D5D1" w:rsidR="00B2018A" w:rsidRPr="00EF1F01" w:rsidRDefault="00B2018A" w:rsidP="000168EC">
            <w:pPr>
              <w:numPr>
                <w:ilvl w:val="0"/>
                <w:numId w:val="6"/>
              </w:numPr>
              <w:spacing w:before="120" w:after="120" w:line="280" w:lineRule="exact"/>
              <w:jc w:val="both"/>
              <w:rPr>
                <w:rFonts w:ascii="Corbel" w:hAnsi="Corbel" w:cs="Arial"/>
                <w:sz w:val="21"/>
                <w:szCs w:val="21"/>
              </w:rPr>
            </w:pPr>
            <w:r w:rsidRPr="00EF1F01">
              <w:rPr>
                <w:rFonts w:ascii="Corbel" w:hAnsi="Corbel" w:cs="Arial"/>
                <w:sz w:val="21"/>
                <w:szCs w:val="21"/>
              </w:rPr>
              <w:t>To strengthen technical capacity, the project assist</w:t>
            </w:r>
            <w:r w:rsidR="008A1165">
              <w:rPr>
                <w:rFonts w:ascii="Corbel" w:hAnsi="Corbel" w:cs="Arial"/>
                <w:sz w:val="21"/>
                <w:szCs w:val="21"/>
              </w:rPr>
              <w:t>ed</w:t>
            </w:r>
            <w:r w:rsidRPr="00EF1F01">
              <w:rPr>
                <w:rFonts w:ascii="Corbel" w:hAnsi="Corbel" w:cs="Arial"/>
                <w:sz w:val="21"/>
                <w:szCs w:val="21"/>
              </w:rPr>
              <w:t xml:space="preserve"> Arab policy makers with specialized analysis on the impacts of Arab Custom Union, E-Commerce, Investment, guidelines on Consumers’ protection, and upgrading the Pan Arab Free Trade Area through development of draft legal texts for the negotiations by Arab countries. </w:t>
            </w:r>
          </w:p>
          <w:p w14:paraId="42CE7043" w14:textId="77777777" w:rsidR="00B2018A" w:rsidRPr="00EF1F01" w:rsidRDefault="00B2018A" w:rsidP="000168EC">
            <w:pPr>
              <w:numPr>
                <w:ilvl w:val="0"/>
                <w:numId w:val="6"/>
              </w:numPr>
              <w:spacing w:before="120" w:after="120" w:line="280" w:lineRule="exact"/>
              <w:jc w:val="both"/>
              <w:rPr>
                <w:rFonts w:ascii="Corbel" w:hAnsi="Corbel" w:cs="Arial"/>
                <w:sz w:val="21"/>
                <w:szCs w:val="21"/>
              </w:rPr>
            </w:pPr>
            <w:r w:rsidRPr="00EF1F01">
              <w:rPr>
                <w:rFonts w:ascii="Corbel" w:hAnsi="Corbel" w:cs="Arial"/>
                <w:sz w:val="21"/>
                <w:szCs w:val="21"/>
              </w:rPr>
              <w:t>Taking into consideration LAS new approach in the design of trade policies and as a preparatory step in the modernization of Arab trade policies, the project team in consultations with LAS, developed analysis of investment to deepen Arab economic integration, to upgrade the LAS technical understanding and foster informed decisions making on these topics.</w:t>
            </w:r>
          </w:p>
        </w:tc>
      </w:tr>
      <w:tr w:rsidR="00B2018A" w:rsidRPr="00EF1F01" w14:paraId="0FA294EB" w14:textId="77777777" w:rsidTr="00DE7B12">
        <w:trPr>
          <w:trHeight w:val="1195"/>
          <w:jc w:val="center"/>
        </w:trPr>
        <w:tc>
          <w:tcPr>
            <w:tcW w:w="3676" w:type="dxa"/>
            <w:shd w:val="clear" w:color="auto" w:fill="auto"/>
          </w:tcPr>
          <w:p w14:paraId="4389EB53" w14:textId="7C7CEC2E" w:rsidR="00B2018A" w:rsidRPr="00EF1F01" w:rsidRDefault="00B2018A" w:rsidP="009742A5">
            <w:pPr>
              <w:pStyle w:val="ListParagraph"/>
              <w:spacing w:before="120" w:after="120" w:line="300" w:lineRule="exact"/>
              <w:ind w:left="0"/>
              <w:contextualSpacing w:val="0"/>
              <w:jc w:val="both"/>
              <w:rPr>
                <w:rFonts w:ascii="Corbel" w:hAnsi="Corbel" w:cs="Arial"/>
                <w:sz w:val="21"/>
                <w:szCs w:val="21"/>
                <w:lang w:val="en-US"/>
              </w:rPr>
            </w:pPr>
            <w:r w:rsidRPr="00EF1F01">
              <w:rPr>
                <w:rFonts w:ascii="Corbel" w:hAnsi="Corbel" w:cs="Arial"/>
                <w:bCs/>
                <w:sz w:val="21"/>
                <w:szCs w:val="21"/>
                <w:u w:val="single"/>
              </w:rPr>
              <w:t xml:space="preserve">Project Risk </w:t>
            </w:r>
            <w:r w:rsidRPr="00EF1F01">
              <w:rPr>
                <w:rFonts w:ascii="Corbel" w:hAnsi="Corbel" w:cs="Arial"/>
                <w:bCs/>
                <w:sz w:val="21"/>
                <w:szCs w:val="21"/>
                <w:u w:val="single"/>
                <w:lang w:val="en-US"/>
              </w:rPr>
              <w:t>3</w:t>
            </w:r>
            <w:r w:rsidRPr="00EF1F01">
              <w:rPr>
                <w:rFonts w:ascii="Corbel" w:hAnsi="Corbel" w:cs="Arial"/>
                <w:bCs/>
                <w:sz w:val="21"/>
                <w:szCs w:val="21"/>
                <w:lang w:val="en-US"/>
              </w:rPr>
              <w:t xml:space="preserve">: </w:t>
            </w:r>
            <w:r w:rsidRPr="00EF1F01">
              <w:rPr>
                <w:rFonts w:ascii="Corbel" w:hAnsi="Corbel" w:cs="Arial"/>
                <w:sz w:val="21"/>
                <w:szCs w:val="21"/>
                <w:lang w:val="en-US"/>
              </w:rPr>
              <w:t>Inadequate practices and modalities for regional commitments to be translated into policy actions</w:t>
            </w:r>
            <w:r w:rsidR="00D2019C" w:rsidRPr="00EF1F01">
              <w:rPr>
                <w:rFonts w:ascii="Corbel" w:hAnsi="Corbel" w:cs="Arial"/>
                <w:sz w:val="21"/>
                <w:szCs w:val="21"/>
              </w:rPr>
              <w:t>.</w:t>
            </w:r>
            <w:r w:rsidRPr="00EF1F01">
              <w:rPr>
                <w:rFonts w:ascii="Corbel" w:hAnsi="Corbel" w:cs="Arial"/>
                <w:sz w:val="21"/>
                <w:szCs w:val="21"/>
              </w:rPr>
              <w:t xml:space="preserve">  </w:t>
            </w:r>
          </w:p>
        </w:tc>
        <w:tc>
          <w:tcPr>
            <w:tcW w:w="6584" w:type="dxa"/>
            <w:shd w:val="clear" w:color="auto" w:fill="auto"/>
          </w:tcPr>
          <w:p w14:paraId="1D15AB51" w14:textId="49E317DD" w:rsidR="00B2018A" w:rsidRPr="007743D1" w:rsidRDefault="00B2018A" w:rsidP="000168EC">
            <w:pPr>
              <w:pStyle w:val="ListParagraph"/>
              <w:numPr>
                <w:ilvl w:val="0"/>
                <w:numId w:val="26"/>
              </w:numPr>
              <w:spacing w:before="120" w:after="120" w:line="280" w:lineRule="exact"/>
              <w:jc w:val="both"/>
              <w:rPr>
                <w:rFonts w:ascii="Corbel" w:hAnsi="Corbel" w:cs="Arial"/>
                <w:sz w:val="21"/>
                <w:szCs w:val="21"/>
              </w:rPr>
            </w:pPr>
            <w:r w:rsidRPr="007743D1">
              <w:rPr>
                <w:rFonts w:ascii="Corbel" w:hAnsi="Corbel" w:cs="Arial"/>
                <w:sz w:val="21"/>
                <w:szCs w:val="21"/>
              </w:rPr>
              <w:t>UNDP support</w:t>
            </w:r>
            <w:r w:rsidR="009B563B">
              <w:rPr>
                <w:rFonts w:ascii="Corbel" w:hAnsi="Corbel" w:cs="Arial"/>
                <w:sz w:val="21"/>
                <w:szCs w:val="21"/>
                <w:lang w:val="en-US"/>
              </w:rPr>
              <w:t>ed</w:t>
            </w:r>
            <w:r w:rsidRPr="007743D1">
              <w:rPr>
                <w:rFonts w:ascii="Corbel" w:hAnsi="Corbel" w:cs="Arial"/>
                <w:sz w:val="21"/>
                <w:szCs w:val="21"/>
              </w:rPr>
              <w:t xml:space="preserve"> key member states to design and update new trade policies at the national level in trade facilitation and services. </w:t>
            </w:r>
            <w:r w:rsidR="00F11056">
              <w:rPr>
                <w:rFonts w:ascii="Corbel" w:hAnsi="Corbel" w:cs="Arial"/>
                <w:sz w:val="21"/>
                <w:szCs w:val="21"/>
                <w:lang w:val="en-US"/>
              </w:rPr>
              <w:t>For example</w:t>
            </w:r>
            <w:r w:rsidR="004216A3" w:rsidRPr="007743D1">
              <w:rPr>
                <w:rFonts w:ascii="Corbel" w:hAnsi="Corbel" w:cs="Arial"/>
                <w:sz w:val="21"/>
                <w:szCs w:val="21"/>
              </w:rPr>
              <w:t>, i</w:t>
            </w:r>
            <w:r w:rsidRPr="007743D1">
              <w:rPr>
                <w:rFonts w:ascii="Corbel" w:hAnsi="Corbel" w:cs="Arial"/>
                <w:sz w:val="21"/>
                <w:szCs w:val="21"/>
              </w:rPr>
              <w:t xml:space="preserve">t assisted Palestine and Morocco to analyse and identify opportunities to participate to the Arab Agreement in the liberalization of Trade in services and deepen market access for Moroccan service products. </w:t>
            </w:r>
          </w:p>
          <w:p w14:paraId="635A05EF" w14:textId="77777777" w:rsidR="00B2018A" w:rsidRPr="00F11056" w:rsidRDefault="00B2018A" w:rsidP="000168EC">
            <w:pPr>
              <w:pStyle w:val="ListParagraph"/>
              <w:numPr>
                <w:ilvl w:val="0"/>
                <w:numId w:val="26"/>
              </w:numPr>
              <w:spacing w:before="120" w:after="120" w:line="280" w:lineRule="exact"/>
              <w:jc w:val="both"/>
              <w:rPr>
                <w:rFonts w:ascii="Corbel" w:hAnsi="Corbel" w:cs="Arial"/>
                <w:sz w:val="21"/>
                <w:szCs w:val="21"/>
              </w:rPr>
            </w:pPr>
            <w:r w:rsidRPr="00F11056">
              <w:rPr>
                <w:rFonts w:ascii="Corbel" w:hAnsi="Corbel" w:cs="Arial"/>
                <w:sz w:val="21"/>
                <w:szCs w:val="21"/>
              </w:rPr>
              <w:t xml:space="preserve">UNDP prioritizes promotion of transparency in the publication and dissemination of trade regulations. A proposal to operationalize mechanisms of notification of trade related regulations was presented and accepted by Arab policy makers. UNDP also relied on materials and documents by the Arab Chamber of Commerce and Industry and those of official meetings of trade policy negotiators to understand operational challenges, faced by Arab traders.  </w:t>
            </w:r>
          </w:p>
        </w:tc>
      </w:tr>
      <w:tr w:rsidR="00B2018A" w:rsidRPr="00EF1F01" w14:paraId="518A0A67" w14:textId="77777777" w:rsidTr="00D6084B">
        <w:trPr>
          <w:trHeight w:val="549"/>
          <w:jc w:val="center"/>
        </w:trPr>
        <w:tc>
          <w:tcPr>
            <w:tcW w:w="3676" w:type="dxa"/>
            <w:shd w:val="clear" w:color="auto" w:fill="auto"/>
          </w:tcPr>
          <w:p w14:paraId="6B37AED8" w14:textId="094EACB5" w:rsidR="00B2018A" w:rsidRPr="00EF1F01" w:rsidRDefault="00B2018A" w:rsidP="009742A5">
            <w:pPr>
              <w:spacing w:before="120" w:after="120" w:line="300" w:lineRule="exact"/>
              <w:jc w:val="both"/>
              <w:rPr>
                <w:rFonts w:ascii="Corbel" w:hAnsi="Corbel" w:cs="Arial"/>
                <w:b/>
                <w:bCs/>
                <w:sz w:val="21"/>
                <w:szCs w:val="21"/>
              </w:rPr>
            </w:pPr>
            <w:r w:rsidRPr="00EF1F01">
              <w:rPr>
                <w:rFonts w:ascii="Corbel" w:hAnsi="Corbel" w:cs="Arial"/>
                <w:bCs/>
                <w:sz w:val="21"/>
                <w:szCs w:val="21"/>
                <w:u w:val="single"/>
              </w:rPr>
              <w:t>Project Risk 4</w:t>
            </w:r>
            <w:r w:rsidRPr="00EF1F01">
              <w:rPr>
                <w:rFonts w:ascii="Corbel" w:hAnsi="Corbel" w:cs="Arial"/>
                <w:bCs/>
                <w:sz w:val="21"/>
                <w:szCs w:val="21"/>
              </w:rPr>
              <w:t xml:space="preserve">: </w:t>
            </w:r>
            <w:r w:rsidRPr="00EF1F01">
              <w:rPr>
                <w:rFonts w:ascii="Corbel" w:eastAsia="Times New Roman" w:hAnsi="Corbel" w:cs="Arial"/>
                <w:sz w:val="21"/>
                <w:szCs w:val="21"/>
                <w:lang w:eastAsia="x-none"/>
              </w:rPr>
              <w:t xml:space="preserve">Protracted political instability/conflict </w:t>
            </w:r>
            <w:r w:rsidR="000F1370">
              <w:rPr>
                <w:rFonts w:ascii="Corbel" w:eastAsia="Times New Roman" w:hAnsi="Corbel" w:cs="Arial"/>
                <w:sz w:val="21"/>
                <w:szCs w:val="21"/>
                <w:lang w:eastAsia="x-none"/>
              </w:rPr>
              <w:t>restrains</w:t>
            </w:r>
            <w:r w:rsidRPr="00EF1F01">
              <w:rPr>
                <w:rFonts w:ascii="Corbel" w:eastAsia="Times New Roman" w:hAnsi="Corbel" w:cs="Arial"/>
                <w:sz w:val="21"/>
                <w:szCs w:val="21"/>
                <w:lang w:eastAsia="x-none"/>
              </w:rPr>
              <w:t xml:space="preserve"> the design of long-term </w:t>
            </w:r>
            <w:proofErr w:type="spellStart"/>
            <w:r w:rsidRPr="00EF1F01">
              <w:rPr>
                <w:rFonts w:ascii="Corbel" w:eastAsia="Times New Roman" w:hAnsi="Corbel" w:cs="Arial"/>
                <w:sz w:val="21"/>
                <w:szCs w:val="21"/>
                <w:lang w:eastAsia="x-none"/>
              </w:rPr>
              <w:t>programmes</w:t>
            </w:r>
            <w:proofErr w:type="spellEnd"/>
            <w:r w:rsidRPr="00EF1F01">
              <w:rPr>
                <w:rFonts w:ascii="Corbel" w:eastAsia="Times New Roman" w:hAnsi="Corbel" w:cs="Arial"/>
                <w:sz w:val="21"/>
                <w:szCs w:val="21"/>
                <w:lang w:eastAsia="x-none"/>
              </w:rPr>
              <w:t xml:space="preserve"> of Arab cooperation and hinder coordination on Arab economic integration</w:t>
            </w:r>
          </w:p>
        </w:tc>
        <w:tc>
          <w:tcPr>
            <w:tcW w:w="6584" w:type="dxa"/>
            <w:shd w:val="clear" w:color="auto" w:fill="auto"/>
          </w:tcPr>
          <w:p w14:paraId="523B8C81" w14:textId="65468739" w:rsidR="00B2018A" w:rsidRPr="00323A67" w:rsidRDefault="00B2018A" w:rsidP="000168EC">
            <w:pPr>
              <w:pStyle w:val="ListParagraph"/>
              <w:numPr>
                <w:ilvl w:val="0"/>
                <w:numId w:val="27"/>
              </w:numPr>
              <w:spacing w:before="120" w:after="120" w:line="280" w:lineRule="exact"/>
              <w:jc w:val="both"/>
              <w:rPr>
                <w:rFonts w:ascii="Corbel" w:hAnsi="Corbel" w:cs="Arial"/>
                <w:sz w:val="21"/>
                <w:szCs w:val="21"/>
              </w:rPr>
            </w:pPr>
            <w:r w:rsidRPr="00323A67">
              <w:rPr>
                <w:rFonts w:ascii="Corbel" w:hAnsi="Corbel" w:cs="Arial"/>
                <w:sz w:val="21"/>
                <w:szCs w:val="21"/>
              </w:rPr>
              <w:t xml:space="preserve">UNDP </w:t>
            </w:r>
            <w:r w:rsidR="00323A67">
              <w:rPr>
                <w:rFonts w:ascii="Corbel" w:hAnsi="Corbel" w:cs="Arial"/>
                <w:sz w:val="21"/>
                <w:szCs w:val="21"/>
                <w:lang w:val="en-US"/>
              </w:rPr>
              <w:t>monitored</w:t>
            </w:r>
            <w:r w:rsidRPr="00323A67">
              <w:rPr>
                <w:rFonts w:ascii="Corbel" w:hAnsi="Corbel" w:cs="Arial"/>
                <w:sz w:val="21"/>
                <w:szCs w:val="21"/>
              </w:rPr>
              <w:t xml:space="preserve"> the situation through the UNDP networks of Country Offices, supported by the UN system, and in regular contact with stakeholders at the national and regional level. </w:t>
            </w:r>
          </w:p>
        </w:tc>
      </w:tr>
      <w:tr w:rsidR="00B2018A" w:rsidRPr="00EF1F01" w14:paraId="32521A2D" w14:textId="77777777" w:rsidTr="00DE7B12">
        <w:trPr>
          <w:trHeight w:val="1195"/>
          <w:jc w:val="center"/>
        </w:trPr>
        <w:tc>
          <w:tcPr>
            <w:tcW w:w="3676" w:type="dxa"/>
            <w:shd w:val="clear" w:color="auto" w:fill="auto"/>
          </w:tcPr>
          <w:p w14:paraId="37BDED95" w14:textId="77777777" w:rsidR="00B2018A" w:rsidRPr="00EF1F01" w:rsidRDefault="00B2018A" w:rsidP="009742A5">
            <w:pPr>
              <w:spacing w:before="120" w:after="120" w:line="300" w:lineRule="exact"/>
              <w:jc w:val="both"/>
              <w:rPr>
                <w:rFonts w:ascii="Corbel" w:hAnsi="Corbel" w:cs="Arial"/>
                <w:bCs/>
                <w:sz w:val="21"/>
                <w:szCs w:val="21"/>
                <w:u w:val="single"/>
              </w:rPr>
            </w:pPr>
            <w:r w:rsidRPr="00EF1F01">
              <w:rPr>
                <w:rFonts w:ascii="Corbel" w:hAnsi="Corbel" w:cs="Arial"/>
                <w:bCs/>
                <w:sz w:val="21"/>
                <w:szCs w:val="21"/>
                <w:u w:val="single"/>
              </w:rPr>
              <w:lastRenderedPageBreak/>
              <w:t>Project Risk 5</w:t>
            </w:r>
            <w:r w:rsidRPr="00EF1F01">
              <w:rPr>
                <w:rFonts w:ascii="Corbel" w:hAnsi="Corbel" w:cs="Arial"/>
                <w:bCs/>
                <w:sz w:val="21"/>
                <w:szCs w:val="21"/>
              </w:rPr>
              <w:t xml:space="preserve">: Serious challenges posed by Covid-19 to the application of regionalism in trade policies and to the delivery of project activities. </w:t>
            </w:r>
          </w:p>
        </w:tc>
        <w:tc>
          <w:tcPr>
            <w:tcW w:w="6584" w:type="dxa"/>
            <w:shd w:val="clear" w:color="auto" w:fill="auto"/>
          </w:tcPr>
          <w:p w14:paraId="0C5030A5" w14:textId="4D3AD3D2" w:rsidR="00B2018A" w:rsidRPr="00323A67" w:rsidRDefault="00B2018A" w:rsidP="000168EC">
            <w:pPr>
              <w:pStyle w:val="ListParagraph"/>
              <w:numPr>
                <w:ilvl w:val="0"/>
                <w:numId w:val="27"/>
              </w:numPr>
              <w:spacing w:before="120" w:after="120" w:line="280" w:lineRule="exact"/>
              <w:jc w:val="both"/>
              <w:rPr>
                <w:rFonts w:ascii="Corbel" w:hAnsi="Corbel" w:cs="Arial"/>
                <w:sz w:val="21"/>
                <w:szCs w:val="21"/>
              </w:rPr>
            </w:pPr>
            <w:r w:rsidRPr="00323A67">
              <w:rPr>
                <w:rFonts w:ascii="Corbel" w:hAnsi="Corbel" w:cs="Arial"/>
                <w:bCs/>
                <w:sz w:val="21"/>
                <w:szCs w:val="21"/>
              </w:rPr>
              <w:t>In response to Covid-19, national authorities prioritize</w:t>
            </w:r>
            <w:r w:rsidR="00352A27">
              <w:rPr>
                <w:rFonts w:ascii="Corbel" w:hAnsi="Corbel" w:cs="Arial"/>
                <w:bCs/>
                <w:sz w:val="21"/>
                <w:szCs w:val="21"/>
                <w:lang w:val="en-US"/>
              </w:rPr>
              <w:t>d</w:t>
            </w:r>
            <w:r w:rsidRPr="00323A67">
              <w:rPr>
                <w:rFonts w:ascii="Corbel" w:hAnsi="Corbel" w:cs="Arial"/>
                <w:bCs/>
                <w:sz w:val="21"/>
                <w:szCs w:val="21"/>
              </w:rPr>
              <w:t xml:space="preserve"> the domestic agenda over regional integration. To support regionalism, </w:t>
            </w:r>
            <w:r w:rsidRPr="00323A67">
              <w:rPr>
                <w:rFonts w:ascii="Corbel" w:hAnsi="Corbel" w:cs="Arial"/>
                <w:sz w:val="21"/>
                <w:szCs w:val="21"/>
              </w:rPr>
              <w:t>UNDP assisted LAS and ECOSOC to prepare ECOSOC Trade Policy Statements (issued in May 2020) to call for facilitating instead of hindering regional and international trade, particularly of medicines, face masks</w:t>
            </w:r>
            <w:r w:rsidR="003F7676" w:rsidRPr="00323A67">
              <w:rPr>
                <w:rFonts w:ascii="Corbel" w:hAnsi="Corbel" w:cs="Arial"/>
                <w:sz w:val="21"/>
                <w:szCs w:val="21"/>
              </w:rPr>
              <w:t xml:space="preserve"> and other</w:t>
            </w:r>
            <w:r w:rsidRPr="00323A67">
              <w:rPr>
                <w:rFonts w:ascii="Corbel" w:hAnsi="Corbel" w:cs="Arial"/>
                <w:sz w:val="21"/>
                <w:szCs w:val="21"/>
              </w:rPr>
              <w:t xml:space="preserve"> personal protection equipment, as a more effective response to the impact of the pandemic. To foster public confidence on the publication of trade regulations, UNDP assisted LAS ECOSOC to activate the mechanisms of notification of trade regulations, aligned to international best practices. </w:t>
            </w:r>
          </w:p>
          <w:p w14:paraId="7B66D04D" w14:textId="4191BAC5" w:rsidR="00B2018A" w:rsidRPr="00352A27" w:rsidRDefault="00710DC2" w:rsidP="000168EC">
            <w:pPr>
              <w:pStyle w:val="ListParagraph"/>
              <w:numPr>
                <w:ilvl w:val="0"/>
                <w:numId w:val="27"/>
              </w:numPr>
              <w:spacing w:before="120" w:after="120" w:line="280" w:lineRule="exact"/>
              <w:jc w:val="both"/>
              <w:rPr>
                <w:rFonts w:ascii="Corbel" w:hAnsi="Corbel" w:cs="Arial"/>
                <w:sz w:val="21"/>
                <w:szCs w:val="21"/>
              </w:rPr>
            </w:pPr>
            <w:r w:rsidRPr="00352A27">
              <w:rPr>
                <w:rFonts w:ascii="Corbel" w:hAnsi="Corbel" w:cs="Arial"/>
                <w:sz w:val="21"/>
                <w:szCs w:val="21"/>
              </w:rPr>
              <w:t>UNDP also adopted f</w:t>
            </w:r>
            <w:r w:rsidR="00B2018A" w:rsidRPr="00352A27">
              <w:rPr>
                <w:rFonts w:ascii="Corbel" w:hAnsi="Corbel" w:cs="Arial"/>
                <w:sz w:val="21"/>
                <w:szCs w:val="21"/>
              </w:rPr>
              <w:t>lexibility in implementation and focus</w:t>
            </w:r>
            <w:r w:rsidRPr="00352A27">
              <w:rPr>
                <w:rFonts w:ascii="Corbel" w:hAnsi="Corbel" w:cs="Arial"/>
                <w:sz w:val="21"/>
                <w:szCs w:val="21"/>
              </w:rPr>
              <w:t>ed</w:t>
            </w:r>
            <w:r w:rsidR="00B2018A" w:rsidRPr="00352A27">
              <w:rPr>
                <w:rFonts w:ascii="Corbel" w:hAnsi="Corbel" w:cs="Arial"/>
                <w:sz w:val="21"/>
                <w:szCs w:val="21"/>
              </w:rPr>
              <w:t xml:space="preserve"> on activities that are desk</w:t>
            </w:r>
            <w:r w:rsidRPr="00352A27">
              <w:rPr>
                <w:rFonts w:ascii="Corbel" w:hAnsi="Corbel" w:cs="Arial"/>
                <w:sz w:val="21"/>
                <w:szCs w:val="21"/>
              </w:rPr>
              <w:t>-</w:t>
            </w:r>
            <w:r w:rsidR="00B2018A" w:rsidRPr="00352A27">
              <w:rPr>
                <w:rFonts w:ascii="Corbel" w:hAnsi="Corbel" w:cs="Arial"/>
                <w:sz w:val="21"/>
                <w:szCs w:val="21"/>
              </w:rPr>
              <w:t>based. Adaptation and adjustment of activities included virtual workshops and consultations.</w:t>
            </w:r>
          </w:p>
        </w:tc>
      </w:tr>
    </w:tbl>
    <w:p w14:paraId="4558E4AE" w14:textId="76AC7A56" w:rsidR="00BB0863" w:rsidRPr="00EF1F01" w:rsidRDefault="00891F84" w:rsidP="00EC72A4">
      <w:pPr>
        <w:pStyle w:val="Heading1"/>
        <w:rPr>
          <w:lang w:val="en-GB"/>
        </w:rPr>
      </w:pPr>
      <w:bookmarkStart w:id="223" w:name="_Toc103506754"/>
      <w:r w:rsidRPr="00EF1F01">
        <w:rPr>
          <w:lang w:val="en-GB"/>
        </w:rPr>
        <w:t>V</w:t>
      </w:r>
      <w:r w:rsidR="005D7F1A" w:rsidRPr="00EF1F01">
        <w:rPr>
          <w:lang w:val="en-GB"/>
        </w:rPr>
        <w:t>I</w:t>
      </w:r>
      <w:r w:rsidRPr="00EF1F01">
        <w:rPr>
          <w:lang w:val="en-GB"/>
        </w:rPr>
        <w:t xml:space="preserve">. </w:t>
      </w:r>
      <w:r w:rsidR="003977EB" w:rsidRPr="00EF1F01">
        <w:rPr>
          <w:lang w:val="en-GB"/>
        </w:rPr>
        <w:t>Partnership and collaboration</w:t>
      </w:r>
      <w:bookmarkEnd w:id="223"/>
    </w:p>
    <w:p w14:paraId="1D74AE67" w14:textId="66F195D8" w:rsidR="00A10AFA" w:rsidRDefault="000F5E77" w:rsidP="008035AC">
      <w:pPr>
        <w:pStyle w:val="ListParagraph"/>
        <w:spacing w:before="120" w:after="120" w:line="300" w:lineRule="exact"/>
        <w:ind w:left="0"/>
        <w:contextualSpacing w:val="0"/>
        <w:jc w:val="both"/>
        <w:rPr>
          <w:rFonts w:ascii="Corbel" w:hAnsi="Corbel" w:cs="Arial"/>
          <w:bCs/>
          <w:sz w:val="21"/>
          <w:szCs w:val="21"/>
          <w:lang w:val="en-GB"/>
        </w:rPr>
      </w:pPr>
      <w:r w:rsidRPr="00EF1F01">
        <w:rPr>
          <w:rFonts w:ascii="Corbel" w:hAnsi="Corbel" w:cs="Arial"/>
          <w:bCs/>
          <w:sz w:val="21"/>
          <w:szCs w:val="21"/>
          <w:lang w:val="en-GB"/>
        </w:rPr>
        <w:t xml:space="preserve">UNDP collaborated with UNCTAD, WTO and the private sector to mobilize expertise and support to the </w:t>
      </w:r>
      <w:r w:rsidR="00B87D81">
        <w:rPr>
          <w:rFonts w:ascii="Corbel" w:hAnsi="Corbel" w:cs="Arial"/>
          <w:bCs/>
          <w:sz w:val="21"/>
          <w:szCs w:val="21"/>
          <w:lang w:val="en-GB"/>
        </w:rPr>
        <w:t xml:space="preserve">project </w:t>
      </w:r>
      <w:r w:rsidRPr="00EF1F01">
        <w:rPr>
          <w:rFonts w:ascii="Corbel" w:hAnsi="Corbel" w:cs="Arial"/>
          <w:bCs/>
          <w:sz w:val="21"/>
          <w:szCs w:val="21"/>
          <w:lang w:val="en-GB"/>
        </w:rPr>
        <w:t xml:space="preserve">implementation. </w:t>
      </w:r>
      <w:r w:rsidR="00A10AFA">
        <w:rPr>
          <w:rFonts w:ascii="Corbel" w:hAnsi="Corbel" w:cs="Arial"/>
          <w:bCs/>
          <w:sz w:val="21"/>
          <w:szCs w:val="21"/>
          <w:lang w:val="en-GB"/>
        </w:rPr>
        <w:t xml:space="preserve">This </w:t>
      </w:r>
      <w:r w:rsidRPr="00EF1F01">
        <w:rPr>
          <w:rFonts w:ascii="Corbel" w:hAnsi="Corbel" w:cs="Arial"/>
          <w:bCs/>
          <w:sz w:val="21"/>
          <w:szCs w:val="21"/>
          <w:lang w:val="en-GB"/>
        </w:rPr>
        <w:t xml:space="preserve">helped to raise awareness </w:t>
      </w:r>
      <w:r w:rsidR="00A10AFA">
        <w:rPr>
          <w:rFonts w:ascii="Corbel" w:hAnsi="Corbel" w:cs="Arial"/>
          <w:bCs/>
          <w:sz w:val="21"/>
          <w:szCs w:val="21"/>
          <w:lang w:val="en-GB"/>
        </w:rPr>
        <w:t xml:space="preserve">of countries in the region </w:t>
      </w:r>
      <w:r w:rsidRPr="00EF1F01">
        <w:rPr>
          <w:rFonts w:ascii="Corbel" w:hAnsi="Corbel" w:cs="Arial"/>
          <w:bCs/>
          <w:sz w:val="21"/>
          <w:szCs w:val="21"/>
          <w:lang w:val="en-GB"/>
        </w:rPr>
        <w:t xml:space="preserve">on international standards and practices as well as to </w:t>
      </w:r>
      <w:r w:rsidR="002B2B9E">
        <w:rPr>
          <w:rFonts w:ascii="Corbel" w:hAnsi="Corbel" w:cs="Arial"/>
          <w:bCs/>
          <w:sz w:val="21"/>
          <w:szCs w:val="21"/>
          <w:lang w:val="en-GB"/>
        </w:rPr>
        <w:t xml:space="preserve">ensure </w:t>
      </w:r>
      <w:r w:rsidR="002B2B9E" w:rsidRPr="00EF1F01">
        <w:rPr>
          <w:rFonts w:ascii="Corbel" w:hAnsi="Corbel" w:cs="Arial"/>
          <w:bCs/>
          <w:sz w:val="21"/>
          <w:szCs w:val="21"/>
          <w:lang w:val="en-GB"/>
        </w:rPr>
        <w:t>that</w:t>
      </w:r>
      <w:r w:rsidRPr="00EF1F01">
        <w:rPr>
          <w:rFonts w:ascii="Corbel" w:hAnsi="Corbel" w:cs="Arial"/>
          <w:bCs/>
          <w:sz w:val="21"/>
          <w:szCs w:val="21"/>
          <w:lang w:val="en-GB"/>
        </w:rPr>
        <w:t xml:space="preserve"> PAFTA instruments</w:t>
      </w:r>
      <w:r w:rsidR="00A46619">
        <w:rPr>
          <w:rFonts w:ascii="Corbel" w:hAnsi="Corbel" w:cs="Arial"/>
          <w:bCs/>
          <w:sz w:val="21"/>
          <w:szCs w:val="21"/>
          <w:lang w:val="en-GB"/>
        </w:rPr>
        <w:t xml:space="preserve"> that were being upgraded were aligned with the regulations of</w:t>
      </w:r>
      <w:r w:rsidRPr="00EF1F01">
        <w:rPr>
          <w:rFonts w:ascii="Corbel" w:hAnsi="Corbel" w:cs="Arial"/>
          <w:bCs/>
          <w:sz w:val="21"/>
          <w:szCs w:val="21"/>
          <w:lang w:val="en-GB"/>
        </w:rPr>
        <w:t xml:space="preserve"> WTO, WCO and </w:t>
      </w:r>
      <w:r w:rsidR="00B87D81">
        <w:rPr>
          <w:rFonts w:ascii="Corbel" w:hAnsi="Corbel" w:cs="Arial"/>
          <w:bCs/>
          <w:sz w:val="21"/>
          <w:szCs w:val="21"/>
          <w:lang w:val="en-GB"/>
        </w:rPr>
        <w:t xml:space="preserve">other </w:t>
      </w:r>
      <w:r w:rsidRPr="00EF1F01">
        <w:rPr>
          <w:rFonts w:ascii="Corbel" w:hAnsi="Corbel" w:cs="Arial"/>
          <w:bCs/>
          <w:sz w:val="21"/>
          <w:szCs w:val="21"/>
          <w:lang w:val="en-GB"/>
        </w:rPr>
        <w:t xml:space="preserve">international trade organizations. </w:t>
      </w:r>
    </w:p>
    <w:p w14:paraId="5E922E0E" w14:textId="0BB2CFCC" w:rsidR="000F5E77" w:rsidRDefault="00A10AFA" w:rsidP="008035AC">
      <w:pPr>
        <w:pStyle w:val="ListParagraph"/>
        <w:spacing w:before="120" w:after="120" w:line="300" w:lineRule="exact"/>
        <w:ind w:left="0"/>
        <w:contextualSpacing w:val="0"/>
        <w:jc w:val="both"/>
        <w:rPr>
          <w:rFonts w:ascii="Corbel" w:hAnsi="Corbel" w:cs="Arial"/>
          <w:bCs/>
          <w:sz w:val="21"/>
          <w:szCs w:val="21"/>
          <w:lang w:val="en-GB"/>
        </w:rPr>
      </w:pPr>
      <w:r>
        <w:rPr>
          <w:rFonts w:ascii="Corbel" w:hAnsi="Corbel" w:cs="Arial"/>
          <w:bCs/>
          <w:sz w:val="21"/>
          <w:szCs w:val="21"/>
          <w:lang w:val="en-GB"/>
        </w:rPr>
        <w:t xml:space="preserve">In addition, </w:t>
      </w:r>
      <w:r w:rsidR="000F5E77" w:rsidRPr="00EF1F01">
        <w:rPr>
          <w:rFonts w:ascii="Corbel" w:hAnsi="Corbel" w:cs="Arial"/>
          <w:bCs/>
          <w:sz w:val="21"/>
          <w:szCs w:val="21"/>
          <w:lang w:val="en-GB"/>
        </w:rPr>
        <w:t xml:space="preserve">UNDP mobilized experts from developing countries to share experiences </w:t>
      </w:r>
      <w:r w:rsidR="00AB7F7D">
        <w:rPr>
          <w:rFonts w:ascii="Corbel" w:hAnsi="Corbel" w:cs="Arial"/>
          <w:bCs/>
          <w:sz w:val="21"/>
          <w:szCs w:val="21"/>
          <w:lang w:val="en-GB"/>
        </w:rPr>
        <w:t>that can benefit</w:t>
      </w:r>
      <w:r w:rsidR="000F5E77" w:rsidRPr="00EF1F01">
        <w:rPr>
          <w:rFonts w:ascii="Corbel" w:hAnsi="Corbel" w:cs="Arial"/>
          <w:bCs/>
          <w:sz w:val="21"/>
          <w:szCs w:val="21"/>
          <w:lang w:val="en-GB"/>
        </w:rPr>
        <w:t xml:space="preserve"> Arab countries</w:t>
      </w:r>
      <w:r w:rsidR="00142F3D">
        <w:rPr>
          <w:rFonts w:ascii="Corbel" w:hAnsi="Corbel" w:cs="Arial"/>
          <w:bCs/>
          <w:sz w:val="21"/>
          <w:szCs w:val="21"/>
          <w:lang w:val="en-GB"/>
        </w:rPr>
        <w:t xml:space="preserve"> through </w:t>
      </w:r>
      <w:r w:rsidR="000F5E77" w:rsidRPr="00EF1F01">
        <w:rPr>
          <w:rFonts w:ascii="Corbel" w:hAnsi="Corbel" w:cs="Arial"/>
          <w:bCs/>
          <w:sz w:val="21"/>
          <w:szCs w:val="21"/>
          <w:lang w:val="en-GB"/>
        </w:rPr>
        <w:t>South-South Cooperation.</w:t>
      </w:r>
      <w:r w:rsidR="00B03882">
        <w:rPr>
          <w:rFonts w:ascii="Corbel" w:hAnsi="Corbel" w:cs="Arial"/>
          <w:bCs/>
          <w:sz w:val="21"/>
          <w:szCs w:val="21"/>
          <w:lang w:val="en-GB"/>
        </w:rPr>
        <w:t xml:space="preserve"> </w:t>
      </w:r>
      <w:r w:rsidR="002B2B9E">
        <w:rPr>
          <w:rFonts w:ascii="Corbel" w:hAnsi="Corbel" w:cs="Arial"/>
          <w:bCs/>
          <w:sz w:val="21"/>
          <w:szCs w:val="21"/>
          <w:lang w:val="en-GB"/>
        </w:rPr>
        <w:t>Several</w:t>
      </w:r>
      <w:r w:rsidR="00B03882">
        <w:rPr>
          <w:rFonts w:ascii="Corbel" w:hAnsi="Corbel" w:cs="Arial"/>
          <w:bCs/>
          <w:sz w:val="21"/>
          <w:szCs w:val="21"/>
          <w:lang w:val="en-GB"/>
        </w:rPr>
        <w:t xml:space="preserve"> experts on trade facilitation</w:t>
      </w:r>
      <w:r w:rsidR="00440FD1">
        <w:rPr>
          <w:rFonts w:ascii="Corbel" w:hAnsi="Corbel" w:cs="Arial"/>
          <w:bCs/>
          <w:sz w:val="21"/>
          <w:szCs w:val="21"/>
          <w:lang w:val="en-GB"/>
        </w:rPr>
        <w:t xml:space="preserve"> and</w:t>
      </w:r>
      <w:r w:rsidR="00B03882">
        <w:rPr>
          <w:rFonts w:ascii="Corbel" w:hAnsi="Corbel" w:cs="Arial"/>
          <w:bCs/>
          <w:sz w:val="21"/>
          <w:szCs w:val="21"/>
          <w:lang w:val="en-GB"/>
        </w:rPr>
        <w:t xml:space="preserve"> </w:t>
      </w:r>
      <w:r w:rsidR="00440FD1">
        <w:rPr>
          <w:rFonts w:ascii="Corbel" w:hAnsi="Corbel" w:cs="Arial"/>
          <w:bCs/>
          <w:sz w:val="21"/>
          <w:szCs w:val="21"/>
          <w:lang w:val="en-GB"/>
        </w:rPr>
        <w:t xml:space="preserve">the </w:t>
      </w:r>
      <w:r w:rsidR="0042141E">
        <w:rPr>
          <w:rFonts w:ascii="Corbel" w:hAnsi="Corbel" w:cs="Arial"/>
          <w:bCs/>
          <w:sz w:val="21"/>
          <w:szCs w:val="21"/>
          <w:lang w:val="en-GB"/>
        </w:rPr>
        <w:t xml:space="preserve">National </w:t>
      </w:r>
      <w:r w:rsidR="00B03882">
        <w:rPr>
          <w:rFonts w:ascii="Corbel" w:hAnsi="Corbel" w:cs="Arial"/>
          <w:bCs/>
          <w:sz w:val="21"/>
          <w:szCs w:val="21"/>
          <w:lang w:val="en-GB"/>
        </w:rPr>
        <w:t xml:space="preserve">Single Window </w:t>
      </w:r>
      <w:r w:rsidR="00440FD1">
        <w:rPr>
          <w:rFonts w:ascii="Corbel" w:hAnsi="Corbel" w:cs="Arial"/>
          <w:bCs/>
          <w:sz w:val="21"/>
          <w:szCs w:val="21"/>
          <w:lang w:val="en-GB"/>
        </w:rPr>
        <w:t xml:space="preserve">system </w:t>
      </w:r>
      <w:r w:rsidR="00B03882">
        <w:rPr>
          <w:rFonts w:ascii="Corbel" w:hAnsi="Corbel" w:cs="Arial"/>
          <w:bCs/>
          <w:sz w:val="21"/>
          <w:szCs w:val="21"/>
          <w:lang w:val="en-GB"/>
        </w:rPr>
        <w:t>from Asia were mobilized to share experiences and assist identified countries.</w:t>
      </w:r>
    </w:p>
    <w:p w14:paraId="75359651" w14:textId="55CA2DAC" w:rsidR="001B5E55" w:rsidRDefault="001B5E55" w:rsidP="008035AC">
      <w:pPr>
        <w:pStyle w:val="ListParagraph"/>
        <w:spacing w:before="120" w:after="120" w:line="300" w:lineRule="exact"/>
        <w:ind w:left="0"/>
        <w:contextualSpacing w:val="0"/>
        <w:jc w:val="both"/>
        <w:rPr>
          <w:rFonts w:ascii="Corbel" w:hAnsi="Corbel" w:cs="Arial"/>
          <w:bCs/>
          <w:sz w:val="21"/>
          <w:szCs w:val="21"/>
          <w:lang w:val="en-GB"/>
        </w:rPr>
      </w:pPr>
      <w:r w:rsidRPr="0003093F">
        <w:rPr>
          <w:rFonts w:ascii="Corbel" w:hAnsi="Corbel" w:cs="Arial"/>
          <w:bCs/>
          <w:sz w:val="21"/>
          <w:szCs w:val="21"/>
          <w:lang w:val="en-GB"/>
        </w:rPr>
        <w:t xml:space="preserve">In response to </w:t>
      </w:r>
      <w:r w:rsidR="000F1370">
        <w:rPr>
          <w:rFonts w:ascii="Corbel" w:hAnsi="Corbel" w:cs="Arial"/>
          <w:bCs/>
          <w:sz w:val="21"/>
          <w:szCs w:val="21"/>
          <w:lang w:val="en-GB"/>
        </w:rPr>
        <w:t xml:space="preserve">the </w:t>
      </w:r>
      <w:r w:rsidRPr="0003093F">
        <w:rPr>
          <w:rFonts w:ascii="Corbel" w:hAnsi="Corbel" w:cs="Arial"/>
          <w:bCs/>
          <w:sz w:val="21"/>
          <w:szCs w:val="21"/>
          <w:lang w:val="en-GB"/>
        </w:rPr>
        <w:t xml:space="preserve">needs of supporting Lebanese SMEs and Moroccan </w:t>
      </w:r>
      <w:r w:rsidR="00CF688E">
        <w:rPr>
          <w:rFonts w:ascii="Corbel" w:hAnsi="Corbel" w:cs="Arial"/>
          <w:bCs/>
          <w:sz w:val="21"/>
          <w:szCs w:val="21"/>
          <w:lang w:val="en-GB"/>
        </w:rPr>
        <w:t xml:space="preserve">cooperatives </w:t>
      </w:r>
      <w:r w:rsidRPr="0003093F">
        <w:rPr>
          <w:rFonts w:ascii="Corbel" w:hAnsi="Corbel" w:cs="Arial"/>
          <w:bCs/>
          <w:sz w:val="21"/>
          <w:szCs w:val="21"/>
          <w:lang w:val="en-GB"/>
        </w:rPr>
        <w:t xml:space="preserve">in the exportation of Lebanese products and Argan oil, its derivatives to the US market, partnership was established with Fair Trade Lebanon, a non-governmental entity, to leverage its 15-year of </w:t>
      </w:r>
      <w:r w:rsidR="000F1370">
        <w:rPr>
          <w:rFonts w:ascii="Corbel" w:hAnsi="Corbel" w:cs="Arial"/>
          <w:bCs/>
          <w:sz w:val="21"/>
          <w:szCs w:val="21"/>
          <w:lang w:val="en-GB"/>
        </w:rPr>
        <w:t>experience</w:t>
      </w:r>
      <w:r w:rsidRPr="0003093F">
        <w:rPr>
          <w:rFonts w:ascii="Corbel" w:hAnsi="Corbel" w:cs="Arial"/>
          <w:bCs/>
          <w:sz w:val="21"/>
          <w:szCs w:val="21"/>
          <w:lang w:val="en-GB"/>
        </w:rPr>
        <w:t xml:space="preserve"> in the promotion of Lebanese exports to the international market. </w:t>
      </w:r>
    </w:p>
    <w:p w14:paraId="3472660B" w14:textId="55159B88" w:rsidR="003136F5" w:rsidRDefault="003136F5" w:rsidP="000168EC">
      <w:pPr>
        <w:pStyle w:val="Heading1"/>
        <w:numPr>
          <w:ilvl w:val="0"/>
          <w:numId w:val="5"/>
        </w:numPr>
        <w:rPr>
          <w:lang w:val="en-GB"/>
        </w:rPr>
      </w:pPr>
      <w:bookmarkStart w:id="224" w:name="_Toc364027494"/>
      <w:bookmarkStart w:id="225" w:name="_Toc103506755"/>
      <w:r w:rsidRPr="4F6DD0A6">
        <w:rPr>
          <w:lang w:val="en-GB"/>
        </w:rPr>
        <w:t>Communication and Visibility</w:t>
      </w:r>
      <w:bookmarkEnd w:id="224"/>
      <w:bookmarkEnd w:id="225"/>
    </w:p>
    <w:p w14:paraId="03C8900D" w14:textId="77777777" w:rsidR="007B5D2D" w:rsidRPr="007B5D2D" w:rsidRDefault="007B5D2D" w:rsidP="007B5D2D">
      <w:pPr>
        <w:rPr>
          <w:lang w:val="en-GB"/>
        </w:rPr>
      </w:pPr>
    </w:p>
    <w:p w14:paraId="23C17A35" w14:textId="1D4BAC72" w:rsidR="003136F5" w:rsidRPr="003136F5" w:rsidRDefault="003136F5" w:rsidP="4F6DD0A6">
      <w:pPr>
        <w:spacing w:after="160" w:line="259" w:lineRule="auto"/>
        <w:rPr>
          <w:rFonts w:ascii="Corbel" w:hAnsi="Corbel" w:cs="Arial"/>
          <w:sz w:val="21"/>
          <w:szCs w:val="21"/>
          <w:lang w:val="en-GB"/>
        </w:rPr>
      </w:pPr>
      <w:r w:rsidRPr="4F6DD0A6">
        <w:rPr>
          <w:rFonts w:ascii="Corbel" w:hAnsi="Corbel" w:cs="Arial"/>
          <w:sz w:val="21"/>
          <w:szCs w:val="21"/>
          <w:lang w:val="en-GB"/>
        </w:rPr>
        <w:t xml:space="preserve">The project </w:t>
      </w:r>
      <w:r w:rsidR="009C77D8">
        <w:rPr>
          <w:rFonts w:ascii="Corbel" w:hAnsi="Corbel" w:cs="Arial"/>
          <w:sz w:val="21"/>
          <w:szCs w:val="21"/>
          <w:lang w:val="en-GB"/>
        </w:rPr>
        <w:t>included</w:t>
      </w:r>
      <w:r w:rsidRPr="4F6DD0A6">
        <w:rPr>
          <w:rFonts w:ascii="Corbel" w:hAnsi="Corbel" w:cs="Arial"/>
          <w:sz w:val="21"/>
          <w:szCs w:val="21"/>
          <w:lang w:val="en-GB"/>
        </w:rPr>
        <w:t xml:space="preserve"> external communications and dissemination of information as an ongoing process covering activities and results</w:t>
      </w:r>
      <w:r w:rsidR="003078B6">
        <w:rPr>
          <w:rFonts w:ascii="Corbel" w:hAnsi="Corbel" w:cs="Arial"/>
          <w:sz w:val="21"/>
          <w:szCs w:val="21"/>
          <w:lang w:val="en-GB"/>
        </w:rPr>
        <w:t xml:space="preserve"> through</w:t>
      </w:r>
      <w:r w:rsidRPr="4F6DD0A6">
        <w:rPr>
          <w:rFonts w:ascii="Corbel" w:hAnsi="Corbel" w:cs="Arial"/>
          <w:sz w:val="21"/>
          <w:szCs w:val="21"/>
          <w:lang w:val="en-GB"/>
        </w:rPr>
        <w:t xml:space="preserve"> newsletter articles and social media posts that give visibility to the project. </w:t>
      </w:r>
    </w:p>
    <w:p w14:paraId="7929B0D5" w14:textId="6FB5F4A7" w:rsidR="4F6DD0A6" w:rsidRDefault="4F6DD0A6" w:rsidP="4F6DD0A6">
      <w:pPr>
        <w:spacing w:after="160" w:line="259" w:lineRule="auto"/>
        <w:rPr>
          <w:rFonts w:ascii="Corbel" w:hAnsi="Corbel" w:cs="Arial"/>
          <w:sz w:val="21"/>
          <w:szCs w:val="21"/>
          <w:lang w:val="en-GB"/>
        </w:rPr>
      </w:pPr>
      <w:r w:rsidRPr="0F3A49C3">
        <w:rPr>
          <w:rFonts w:ascii="Corbel" w:hAnsi="Corbel" w:cs="Arial"/>
          <w:sz w:val="21"/>
          <w:szCs w:val="21"/>
          <w:lang w:val="en-GB"/>
        </w:rPr>
        <w:t xml:space="preserve">The following articles were posted on </w:t>
      </w:r>
      <w:r w:rsidR="00F318DD">
        <w:rPr>
          <w:rFonts w:ascii="Corbel" w:hAnsi="Corbel" w:cs="Arial"/>
          <w:sz w:val="21"/>
          <w:szCs w:val="21"/>
          <w:lang w:val="en-GB"/>
        </w:rPr>
        <w:t xml:space="preserve">the Regional Bureau for Arab States </w:t>
      </w:r>
      <w:r w:rsidRPr="0F3A49C3">
        <w:rPr>
          <w:rFonts w:ascii="Corbel" w:hAnsi="Corbel" w:cs="Arial"/>
          <w:sz w:val="21"/>
          <w:szCs w:val="21"/>
          <w:lang w:val="en-GB"/>
        </w:rPr>
        <w:t>Newsletter and UNDP Arab states website, documenting activities and events carried out under the project:</w:t>
      </w:r>
    </w:p>
    <w:p w14:paraId="5C668516" w14:textId="2D51F193" w:rsidR="4F6DD0A6" w:rsidRDefault="00A06682" w:rsidP="4F6DD0A6">
      <w:pPr>
        <w:pStyle w:val="ListParagraph"/>
        <w:numPr>
          <w:ilvl w:val="0"/>
          <w:numId w:val="1"/>
        </w:numPr>
        <w:spacing w:after="160" w:line="259" w:lineRule="auto"/>
        <w:rPr>
          <w:rFonts w:ascii="Corbel" w:eastAsia="Corbel" w:hAnsi="Corbel" w:cs="Corbel"/>
          <w:sz w:val="21"/>
          <w:szCs w:val="21"/>
          <w:lang w:val="en-GB"/>
        </w:rPr>
      </w:pPr>
      <w:hyperlink r:id="rId14" w:history="1">
        <w:r w:rsidR="4F6DD0A6" w:rsidRPr="4F6DD0A6">
          <w:rPr>
            <w:rStyle w:val="Hyperlink"/>
            <w:rFonts w:ascii="Corbel" w:eastAsia="Corbel" w:hAnsi="Corbel" w:cs="Corbel"/>
            <w:sz w:val="21"/>
            <w:szCs w:val="21"/>
            <w:lang w:val="en-GB"/>
          </w:rPr>
          <w:t>Second Regional Workshop on Transport and Trade Facilitation to strengthen Arab Economic Integration</w:t>
        </w:r>
      </w:hyperlink>
      <w:r w:rsidR="4F6DD0A6" w:rsidRPr="4F6DD0A6">
        <w:rPr>
          <w:rFonts w:ascii="Corbel" w:eastAsia="Corbel" w:hAnsi="Corbel" w:cs="Corbel"/>
          <w:sz w:val="21"/>
          <w:szCs w:val="21"/>
          <w:lang w:val="en-GB"/>
        </w:rPr>
        <w:t xml:space="preserve"> (2017)</w:t>
      </w:r>
    </w:p>
    <w:p w14:paraId="6EBAB164" w14:textId="0D752111" w:rsidR="4F6DD0A6" w:rsidRDefault="00A06682" w:rsidP="4F6DD0A6">
      <w:pPr>
        <w:pStyle w:val="ListParagraph"/>
        <w:numPr>
          <w:ilvl w:val="0"/>
          <w:numId w:val="1"/>
        </w:numPr>
        <w:spacing w:after="160" w:line="259" w:lineRule="auto"/>
        <w:rPr>
          <w:rFonts w:ascii="Corbel" w:eastAsia="Corbel" w:hAnsi="Corbel" w:cs="Corbel"/>
          <w:sz w:val="21"/>
          <w:szCs w:val="21"/>
          <w:lang w:val="en-GB"/>
        </w:rPr>
      </w:pPr>
      <w:hyperlink r:id="rId15" w:history="1">
        <w:r w:rsidR="4F6DD0A6" w:rsidRPr="4F6DD0A6">
          <w:rPr>
            <w:rStyle w:val="Hyperlink"/>
            <w:rFonts w:ascii="Corbel" w:eastAsia="Corbel" w:hAnsi="Corbel" w:cs="Corbel"/>
            <w:sz w:val="21"/>
            <w:szCs w:val="21"/>
            <w:lang w:val="en-GB"/>
          </w:rPr>
          <w:t>Jordan launches the National Single Window to streamline trade flows</w:t>
        </w:r>
      </w:hyperlink>
      <w:r w:rsidR="4F6DD0A6" w:rsidRPr="4F6DD0A6">
        <w:rPr>
          <w:rFonts w:ascii="Corbel" w:eastAsia="Corbel" w:hAnsi="Corbel" w:cs="Corbel"/>
          <w:sz w:val="21"/>
          <w:szCs w:val="21"/>
          <w:lang w:val="en-GB"/>
        </w:rPr>
        <w:t xml:space="preserve"> (2018)</w:t>
      </w:r>
    </w:p>
    <w:p w14:paraId="339A87C4" w14:textId="64F603BD" w:rsidR="4F6DD0A6" w:rsidRDefault="00A06682" w:rsidP="4F6DD0A6">
      <w:pPr>
        <w:pStyle w:val="ListParagraph"/>
        <w:numPr>
          <w:ilvl w:val="0"/>
          <w:numId w:val="1"/>
        </w:numPr>
        <w:spacing w:after="160" w:line="259" w:lineRule="auto"/>
        <w:rPr>
          <w:rFonts w:ascii="Corbel" w:eastAsia="Corbel" w:hAnsi="Corbel" w:cs="Corbel"/>
          <w:sz w:val="21"/>
          <w:szCs w:val="21"/>
          <w:lang w:val="en-GB"/>
        </w:rPr>
      </w:pPr>
      <w:hyperlink r:id="rId16" w:history="1">
        <w:r w:rsidR="4F6DD0A6" w:rsidRPr="4F6DD0A6">
          <w:rPr>
            <w:rStyle w:val="Hyperlink"/>
            <w:rFonts w:ascii="Corbel" w:eastAsia="Corbel" w:hAnsi="Corbel" w:cs="Corbel"/>
            <w:sz w:val="21"/>
            <w:szCs w:val="21"/>
            <w:lang w:val="en-GB"/>
          </w:rPr>
          <w:t>The Jordan National Single Window benefits from the Indonesian experience</w:t>
        </w:r>
      </w:hyperlink>
      <w:r w:rsidR="4F6DD0A6" w:rsidRPr="4F6DD0A6">
        <w:rPr>
          <w:rFonts w:ascii="Corbel" w:eastAsia="Corbel" w:hAnsi="Corbel" w:cs="Corbel"/>
          <w:sz w:val="21"/>
          <w:szCs w:val="21"/>
          <w:lang w:val="en-GB"/>
        </w:rPr>
        <w:t xml:space="preserve"> (2018)</w:t>
      </w:r>
    </w:p>
    <w:p w14:paraId="2DC06A15" w14:textId="377C052F" w:rsidR="4F6DD0A6" w:rsidRDefault="00A06682" w:rsidP="4F6DD0A6">
      <w:pPr>
        <w:pStyle w:val="ListParagraph"/>
        <w:numPr>
          <w:ilvl w:val="0"/>
          <w:numId w:val="1"/>
        </w:numPr>
        <w:spacing w:after="160" w:line="259" w:lineRule="auto"/>
        <w:rPr>
          <w:rFonts w:ascii="Corbel" w:eastAsia="Corbel" w:hAnsi="Corbel" w:cs="Corbel"/>
          <w:sz w:val="21"/>
          <w:szCs w:val="21"/>
          <w:lang w:val="en-GB"/>
        </w:rPr>
      </w:pPr>
      <w:hyperlink r:id="rId17" w:history="1">
        <w:r w:rsidR="4F6DD0A6" w:rsidRPr="4F6DD0A6">
          <w:rPr>
            <w:rStyle w:val="Hyperlink"/>
            <w:rFonts w:ascii="Corbel" w:eastAsia="Corbel" w:hAnsi="Corbel" w:cs="Corbel"/>
            <w:sz w:val="21"/>
            <w:szCs w:val="21"/>
            <w:lang w:val="en-GB"/>
          </w:rPr>
          <w:t>Measuring trade contribution to sustainable development in Arab countries</w:t>
        </w:r>
      </w:hyperlink>
      <w:r w:rsidR="4F6DD0A6" w:rsidRPr="4F6DD0A6">
        <w:rPr>
          <w:rFonts w:ascii="Corbel" w:eastAsia="Corbel" w:hAnsi="Corbel" w:cs="Corbel"/>
          <w:sz w:val="21"/>
          <w:szCs w:val="21"/>
          <w:lang w:val="en-GB"/>
        </w:rPr>
        <w:t xml:space="preserve"> (2018)</w:t>
      </w:r>
    </w:p>
    <w:p w14:paraId="65312330" w14:textId="07D56C1E" w:rsidR="4F6DD0A6" w:rsidRDefault="00A06682" w:rsidP="4F6DD0A6">
      <w:pPr>
        <w:pStyle w:val="ListParagraph"/>
        <w:numPr>
          <w:ilvl w:val="0"/>
          <w:numId w:val="1"/>
        </w:numPr>
        <w:spacing w:after="160" w:line="259" w:lineRule="auto"/>
        <w:rPr>
          <w:rFonts w:ascii="Corbel" w:eastAsia="Corbel" w:hAnsi="Corbel" w:cs="Corbel"/>
          <w:sz w:val="21"/>
          <w:szCs w:val="21"/>
          <w:lang w:val="en-GB"/>
        </w:rPr>
      </w:pPr>
      <w:hyperlink r:id="rId18" w:history="1">
        <w:r w:rsidR="4F6DD0A6" w:rsidRPr="4F6DD0A6">
          <w:rPr>
            <w:rStyle w:val="Hyperlink"/>
            <w:rFonts w:ascii="Corbel" w:eastAsia="Corbel" w:hAnsi="Corbel" w:cs="Corbel"/>
            <w:sz w:val="21"/>
            <w:szCs w:val="21"/>
            <w:lang w:val="en-GB"/>
          </w:rPr>
          <w:t>Helping Least Development Countries advance the regional trade agenda</w:t>
        </w:r>
      </w:hyperlink>
      <w:r w:rsidR="4F6DD0A6" w:rsidRPr="4F6DD0A6">
        <w:rPr>
          <w:rFonts w:ascii="Corbel" w:eastAsia="Corbel" w:hAnsi="Corbel" w:cs="Corbel"/>
          <w:sz w:val="21"/>
          <w:szCs w:val="21"/>
          <w:lang w:val="en-GB"/>
        </w:rPr>
        <w:t xml:space="preserve"> (2018)</w:t>
      </w:r>
    </w:p>
    <w:p w14:paraId="520388E7" w14:textId="20F59700" w:rsidR="4F6DD0A6" w:rsidRDefault="00A06682" w:rsidP="4F6DD0A6">
      <w:pPr>
        <w:pStyle w:val="ListParagraph"/>
        <w:numPr>
          <w:ilvl w:val="0"/>
          <w:numId w:val="1"/>
        </w:numPr>
        <w:spacing w:after="160" w:line="259" w:lineRule="auto"/>
        <w:rPr>
          <w:rFonts w:ascii="Corbel" w:eastAsia="Corbel" w:hAnsi="Corbel" w:cs="Corbel"/>
          <w:sz w:val="21"/>
          <w:szCs w:val="21"/>
          <w:lang w:val="en-GB"/>
        </w:rPr>
      </w:pPr>
      <w:hyperlink r:id="rId19" w:history="1">
        <w:r w:rsidR="4F6DD0A6" w:rsidRPr="4F6DD0A6">
          <w:rPr>
            <w:rStyle w:val="Hyperlink"/>
            <w:rFonts w:ascii="Corbel" w:eastAsia="Corbel" w:hAnsi="Corbel" w:cs="Corbel"/>
            <w:sz w:val="21"/>
            <w:szCs w:val="21"/>
            <w:lang w:val="en-GB"/>
          </w:rPr>
          <w:t>Towards stronger trade policymaking in Palestine</w:t>
        </w:r>
      </w:hyperlink>
      <w:r w:rsidR="4F6DD0A6" w:rsidRPr="4F6DD0A6">
        <w:rPr>
          <w:rFonts w:ascii="Corbel" w:eastAsia="Corbel" w:hAnsi="Corbel" w:cs="Corbel"/>
          <w:sz w:val="21"/>
          <w:szCs w:val="21"/>
          <w:lang w:val="en-GB"/>
        </w:rPr>
        <w:t xml:space="preserve"> (2018)</w:t>
      </w:r>
    </w:p>
    <w:p w14:paraId="4A9022E1" w14:textId="58EE1234" w:rsidR="4F6DD0A6" w:rsidRDefault="00A06682" w:rsidP="4F6DD0A6">
      <w:pPr>
        <w:pStyle w:val="ListParagraph"/>
        <w:numPr>
          <w:ilvl w:val="0"/>
          <w:numId w:val="1"/>
        </w:numPr>
        <w:spacing w:after="160" w:line="259" w:lineRule="auto"/>
        <w:rPr>
          <w:rFonts w:ascii="Corbel" w:eastAsia="Corbel" w:hAnsi="Corbel" w:cs="Corbel"/>
          <w:sz w:val="21"/>
          <w:szCs w:val="21"/>
          <w:lang w:val="en-GB"/>
        </w:rPr>
      </w:pPr>
      <w:hyperlink r:id="rId20" w:history="1">
        <w:r w:rsidR="4F6DD0A6" w:rsidRPr="4F6DD0A6">
          <w:rPr>
            <w:rStyle w:val="Hyperlink"/>
            <w:rFonts w:ascii="Corbel" w:eastAsia="Corbel" w:hAnsi="Corbel" w:cs="Corbel"/>
            <w:sz w:val="21"/>
            <w:szCs w:val="21"/>
            <w:lang w:val="en-GB"/>
          </w:rPr>
          <w:t>Digitalizing Trade Facilitation in the Arab Region</w:t>
        </w:r>
      </w:hyperlink>
      <w:r w:rsidR="4F6DD0A6" w:rsidRPr="4F6DD0A6">
        <w:rPr>
          <w:rFonts w:ascii="Corbel" w:eastAsia="Corbel" w:hAnsi="Corbel" w:cs="Corbel"/>
          <w:sz w:val="21"/>
          <w:szCs w:val="21"/>
          <w:lang w:val="en-GB"/>
        </w:rPr>
        <w:t xml:space="preserve"> (2019)</w:t>
      </w:r>
    </w:p>
    <w:p w14:paraId="2F918EE2" w14:textId="75B7B269" w:rsidR="4F6DD0A6" w:rsidRDefault="00A06682" w:rsidP="4F6DD0A6">
      <w:pPr>
        <w:pStyle w:val="ListParagraph"/>
        <w:numPr>
          <w:ilvl w:val="0"/>
          <w:numId w:val="1"/>
        </w:numPr>
        <w:spacing w:after="160" w:line="259" w:lineRule="auto"/>
        <w:rPr>
          <w:rFonts w:ascii="Corbel" w:eastAsia="Corbel" w:hAnsi="Corbel" w:cs="Corbel"/>
          <w:sz w:val="21"/>
          <w:szCs w:val="21"/>
          <w:lang w:val="en-GB"/>
        </w:rPr>
      </w:pPr>
      <w:hyperlink r:id="rId21" w:history="1">
        <w:r w:rsidR="4F6DD0A6" w:rsidRPr="4F6DD0A6">
          <w:rPr>
            <w:rStyle w:val="Hyperlink"/>
            <w:rFonts w:ascii="Corbel" w:eastAsia="Corbel" w:hAnsi="Corbel" w:cs="Corbel"/>
            <w:sz w:val="21"/>
            <w:szCs w:val="21"/>
            <w:lang w:val="en-GB"/>
          </w:rPr>
          <w:t>National Seminar on Egypt National Single Window</w:t>
        </w:r>
      </w:hyperlink>
      <w:r w:rsidR="4F6DD0A6" w:rsidRPr="4F6DD0A6">
        <w:rPr>
          <w:rFonts w:ascii="Corbel" w:eastAsia="Corbel" w:hAnsi="Corbel" w:cs="Corbel"/>
          <w:sz w:val="21"/>
          <w:szCs w:val="21"/>
          <w:lang w:val="en-GB"/>
        </w:rPr>
        <w:t xml:space="preserve"> (2019)</w:t>
      </w:r>
    </w:p>
    <w:p w14:paraId="347FEE19" w14:textId="266CFE6D" w:rsidR="4F6DD0A6" w:rsidRDefault="00A06682" w:rsidP="4F6DD0A6">
      <w:pPr>
        <w:pStyle w:val="ListParagraph"/>
        <w:numPr>
          <w:ilvl w:val="0"/>
          <w:numId w:val="1"/>
        </w:numPr>
        <w:spacing w:after="160" w:line="259" w:lineRule="auto"/>
        <w:rPr>
          <w:rFonts w:ascii="Corbel" w:eastAsia="Corbel" w:hAnsi="Corbel" w:cs="Corbel"/>
          <w:sz w:val="21"/>
          <w:szCs w:val="21"/>
          <w:lang w:val="en-GB"/>
        </w:rPr>
      </w:pPr>
      <w:hyperlink r:id="rId22" w:history="1">
        <w:r w:rsidR="4F6DD0A6" w:rsidRPr="4F6DD0A6">
          <w:rPr>
            <w:rStyle w:val="Hyperlink"/>
            <w:rFonts w:ascii="Corbel" w:eastAsia="Corbel" w:hAnsi="Corbel" w:cs="Corbel"/>
            <w:sz w:val="21"/>
            <w:szCs w:val="21"/>
            <w:lang w:val="en-GB"/>
          </w:rPr>
          <w:t>Trade Data Analysis Training for the League of Arab States</w:t>
        </w:r>
      </w:hyperlink>
      <w:r w:rsidR="4F6DD0A6" w:rsidRPr="4F6DD0A6">
        <w:rPr>
          <w:rFonts w:ascii="Corbel" w:eastAsia="Corbel" w:hAnsi="Corbel" w:cs="Corbel"/>
          <w:sz w:val="21"/>
          <w:szCs w:val="21"/>
          <w:lang w:val="en-GB"/>
        </w:rPr>
        <w:t xml:space="preserve"> (2019)</w:t>
      </w:r>
    </w:p>
    <w:p w14:paraId="67312DDC" w14:textId="2133F7F2" w:rsidR="4F6DD0A6" w:rsidRDefault="00A06682" w:rsidP="4F6DD0A6">
      <w:pPr>
        <w:pStyle w:val="ListParagraph"/>
        <w:numPr>
          <w:ilvl w:val="0"/>
          <w:numId w:val="1"/>
        </w:numPr>
        <w:spacing w:after="160" w:line="259" w:lineRule="auto"/>
        <w:rPr>
          <w:rFonts w:ascii="Corbel" w:eastAsia="Corbel" w:hAnsi="Corbel" w:cs="Corbel"/>
          <w:sz w:val="21"/>
          <w:szCs w:val="21"/>
          <w:lang w:val="en-GB"/>
        </w:rPr>
      </w:pPr>
      <w:hyperlink r:id="rId23" w:history="1">
        <w:r w:rsidR="4F6DD0A6" w:rsidRPr="4F6DD0A6">
          <w:rPr>
            <w:rStyle w:val="Hyperlink"/>
            <w:rFonts w:ascii="Corbel" w:eastAsia="Corbel" w:hAnsi="Corbel" w:cs="Corbel"/>
            <w:sz w:val="21"/>
            <w:szCs w:val="21"/>
            <w:lang w:val="en-GB"/>
          </w:rPr>
          <w:t>Building capacities of Iraqi negotiators in trade in services</w:t>
        </w:r>
      </w:hyperlink>
      <w:r w:rsidR="4F6DD0A6" w:rsidRPr="4F6DD0A6">
        <w:rPr>
          <w:rFonts w:ascii="Corbel" w:eastAsia="Corbel" w:hAnsi="Corbel" w:cs="Corbel"/>
          <w:sz w:val="21"/>
          <w:szCs w:val="21"/>
          <w:lang w:val="en-GB"/>
        </w:rPr>
        <w:t xml:space="preserve"> (2019)</w:t>
      </w:r>
    </w:p>
    <w:p w14:paraId="48637389" w14:textId="07579DE9" w:rsidR="4F6DD0A6" w:rsidRDefault="00A06682" w:rsidP="4F6DD0A6">
      <w:pPr>
        <w:pStyle w:val="ListParagraph"/>
        <w:numPr>
          <w:ilvl w:val="0"/>
          <w:numId w:val="1"/>
        </w:numPr>
        <w:spacing w:after="160" w:line="259" w:lineRule="auto"/>
        <w:rPr>
          <w:rFonts w:ascii="Corbel" w:eastAsia="Corbel" w:hAnsi="Corbel" w:cs="Corbel"/>
          <w:sz w:val="21"/>
          <w:szCs w:val="21"/>
          <w:lang w:val="en-GB"/>
        </w:rPr>
      </w:pPr>
      <w:hyperlink r:id="rId24" w:history="1">
        <w:r w:rsidR="4F6DD0A6" w:rsidRPr="4F6DD0A6">
          <w:rPr>
            <w:rStyle w:val="Hyperlink"/>
            <w:rFonts w:ascii="Corbel" w:eastAsia="Corbel" w:hAnsi="Corbel" w:cs="Corbel"/>
            <w:sz w:val="21"/>
            <w:szCs w:val="21"/>
            <w:lang w:val="en-GB"/>
          </w:rPr>
          <w:t>Supporting Palestine towards stronger trade policymaking</w:t>
        </w:r>
      </w:hyperlink>
      <w:r w:rsidR="4F6DD0A6" w:rsidRPr="4F6DD0A6">
        <w:rPr>
          <w:rFonts w:ascii="Corbel" w:eastAsia="Corbel" w:hAnsi="Corbel" w:cs="Corbel"/>
          <w:sz w:val="21"/>
          <w:szCs w:val="21"/>
          <w:lang w:val="en-GB"/>
        </w:rPr>
        <w:t xml:space="preserve"> (2019)</w:t>
      </w:r>
    </w:p>
    <w:p w14:paraId="5F4B6939" w14:textId="336A0FE2" w:rsidR="4F6DD0A6" w:rsidRDefault="00A06682" w:rsidP="4F6DD0A6">
      <w:pPr>
        <w:pStyle w:val="ListParagraph"/>
        <w:numPr>
          <w:ilvl w:val="0"/>
          <w:numId w:val="1"/>
        </w:numPr>
        <w:spacing w:after="160" w:line="259" w:lineRule="auto"/>
        <w:rPr>
          <w:rFonts w:ascii="Corbel" w:eastAsia="Corbel" w:hAnsi="Corbel" w:cs="Corbel"/>
          <w:sz w:val="21"/>
          <w:szCs w:val="21"/>
          <w:lang w:val="en-GB"/>
        </w:rPr>
      </w:pPr>
      <w:hyperlink r:id="rId25" w:history="1">
        <w:r w:rsidR="4F6DD0A6" w:rsidRPr="4F6DD0A6">
          <w:rPr>
            <w:rStyle w:val="Hyperlink"/>
            <w:rFonts w:ascii="Corbel" w:eastAsia="Corbel" w:hAnsi="Corbel" w:cs="Corbel"/>
            <w:sz w:val="21"/>
            <w:szCs w:val="21"/>
            <w:lang w:val="en-GB"/>
          </w:rPr>
          <w:t>Strengthening Arab Connectivity through trade</w:t>
        </w:r>
      </w:hyperlink>
      <w:r w:rsidR="4F6DD0A6" w:rsidRPr="4F6DD0A6">
        <w:rPr>
          <w:rFonts w:ascii="Corbel" w:eastAsia="Corbel" w:hAnsi="Corbel" w:cs="Corbel"/>
          <w:sz w:val="21"/>
          <w:szCs w:val="21"/>
          <w:lang w:val="en-GB"/>
        </w:rPr>
        <w:t xml:space="preserve"> (2019)</w:t>
      </w:r>
    </w:p>
    <w:p w14:paraId="11E027B3" w14:textId="60F04F40" w:rsidR="4F6DD0A6" w:rsidRDefault="4F6DD0A6" w:rsidP="4F6DD0A6">
      <w:pPr>
        <w:pStyle w:val="ListParagraph"/>
        <w:numPr>
          <w:ilvl w:val="0"/>
          <w:numId w:val="1"/>
        </w:numPr>
        <w:spacing w:after="160" w:line="259" w:lineRule="auto"/>
        <w:rPr>
          <w:rFonts w:ascii="Corbel" w:eastAsia="Corbel" w:hAnsi="Corbel" w:cs="Corbel"/>
          <w:sz w:val="21"/>
          <w:szCs w:val="21"/>
          <w:lang w:val="en-GB"/>
        </w:rPr>
      </w:pPr>
      <w:r w:rsidRPr="4F6DD0A6">
        <w:rPr>
          <w:rFonts w:ascii="Corbel" w:eastAsia="Corbel" w:hAnsi="Corbel" w:cs="Corbel"/>
          <w:color w:val="0563C1"/>
          <w:sz w:val="21"/>
          <w:szCs w:val="21"/>
          <w:u w:val="single"/>
          <w:lang w:val="en-GB"/>
        </w:rPr>
        <w:t xml:space="preserve">Trade in services to boost the economy of </w:t>
      </w:r>
      <w:hyperlink r:id="rId26" w:history="1">
        <w:r w:rsidRPr="4F6DD0A6">
          <w:rPr>
            <w:rStyle w:val="Hyperlink"/>
            <w:rFonts w:ascii="Corbel" w:eastAsia="Corbel" w:hAnsi="Corbel" w:cs="Corbel"/>
            <w:sz w:val="21"/>
            <w:szCs w:val="21"/>
            <w:lang w:val="en-GB"/>
          </w:rPr>
          <w:t>Morocco</w:t>
        </w:r>
      </w:hyperlink>
      <w:r w:rsidRPr="4F6DD0A6">
        <w:rPr>
          <w:rFonts w:ascii="Corbel" w:eastAsia="Corbel" w:hAnsi="Corbel" w:cs="Corbel"/>
          <w:sz w:val="21"/>
          <w:szCs w:val="21"/>
          <w:lang w:val="en-GB"/>
        </w:rPr>
        <w:t xml:space="preserve"> (2019)</w:t>
      </w:r>
    </w:p>
    <w:p w14:paraId="555FF304" w14:textId="2D5DFE52" w:rsidR="4F6DD0A6" w:rsidRDefault="00A06682" w:rsidP="4F6DD0A6">
      <w:pPr>
        <w:pStyle w:val="ListParagraph"/>
        <w:numPr>
          <w:ilvl w:val="0"/>
          <w:numId w:val="1"/>
        </w:numPr>
        <w:spacing w:after="160" w:line="259" w:lineRule="auto"/>
        <w:rPr>
          <w:rFonts w:ascii="Corbel" w:eastAsia="Corbel" w:hAnsi="Corbel" w:cs="Corbel"/>
          <w:sz w:val="21"/>
          <w:szCs w:val="21"/>
          <w:lang w:val="en-GB"/>
        </w:rPr>
      </w:pPr>
      <w:hyperlink r:id="rId27" w:history="1">
        <w:r w:rsidR="4F6DD0A6" w:rsidRPr="4F6DD0A6">
          <w:rPr>
            <w:rStyle w:val="Hyperlink"/>
            <w:rFonts w:ascii="Corbel" w:eastAsia="Corbel" w:hAnsi="Corbel" w:cs="Corbel"/>
            <w:sz w:val="21"/>
            <w:szCs w:val="21"/>
            <w:lang w:val="en-GB"/>
          </w:rPr>
          <w:t xml:space="preserve">Arab Economic Integration for growth, </w:t>
        </w:r>
        <w:proofErr w:type="gramStart"/>
        <w:r w:rsidR="4F6DD0A6" w:rsidRPr="4F6DD0A6">
          <w:rPr>
            <w:rStyle w:val="Hyperlink"/>
            <w:rFonts w:ascii="Corbel" w:eastAsia="Corbel" w:hAnsi="Corbel" w:cs="Corbel"/>
            <w:sz w:val="21"/>
            <w:szCs w:val="21"/>
            <w:lang w:val="en-GB"/>
          </w:rPr>
          <w:t>peace</w:t>
        </w:r>
        <w:proofErr w:type="gramEnd"/>
        <w:r w:rsidR="4F6DD0A6" w:rsidRPr="4F6DD0A6">
          <w:rPr>
            <w:rStyle w:val="Hyperlink"/>
            <w:rFonts w:ascii="Corbel" w:eastAsia="Corbel" w:hAnsi="Corbel" w:cs="Corbel"/>
            <w:sz w:val="21"/>
            <w:szCs w:val="21"/>
            <w:lang w:val="en-GB"/>
          </w:rPr>
          <w:t xml:space="preserve"> and stability (2019)</w:t>
        </w:r>
      </w:hyperlink>
    </w:p>
    <w:p w14:paraId="47B2B6A0" w14:textId="5043BE58" w:rsidR="4F6DD0A6" w:rsidRDefault="00A06682" w:rsidP="4F6DD0A6">
      <w:pPr>
        <w:pStyle w:val="ListParagraph"/>
        <w:numPr>
          <w:ilvl w:val="0"/>
          <w:numId w:val="1"/>
        </w:numPr>
        <w:spacing w:after="160" w:line="259" w:lineRule="auto"/>
        <w:rPr>
          <w:rFonts w:ascii="Corbel" w:eastAsia="Corbel" w:hAnsi="Corbel" w:cs="Corbel"/>
          <w:sz w:val="21"/>
          <w:szCs w:val="21"/>
          <w:lang w:val="en-GB"/>
        </w:rPr>
      </w:pPr>
      <w:hyperlink r:id="rId28" w:history="1">
        <w:r w:rsidR="4F6DD0A6" w:rsidRPr="4F6DD0A6">
          <w:rPr>
            <w:rStyle w:val="Hyperlink"/>
            <w:rFonts w:ascii="Corbel" w:eastAsia="Corbel" w:hAnsi="Corbel" w:cs="Corbel"/>
            <w:sz w:val="21"/>
            <w:szCs w:val="21"/>
            <w:lang w:val="en-GB"/>
          </w:rPr>
          <w:t>Towards Customs Digitalization for Trade Facilitation in the Arab region</w:t>
        </w:r>
      </w:hyperlink>
      <w:r w:rsidR="4F6DD0A6" w:rsidRPr="4F6DD0A6">
        <w:rPr>
          <w:rFonts w:ascii="Corbel" w:eastAsia="Corbel" w:hAnsi="Corbel" w:cs="Corbel"/>
          <w:sz w:val="21"/>
          <w:szCs w:val="21"/>
          <w:lang w:val="en-GB"/>
        </w:rPr>
        <w:t xml:space="preserve"> (2019)</w:t>
      </w:r>
    </w:p>
    <w:p w14:paraId="6F5EA8D3" w14:textId="1F44258E" w:rsidR="4F6DD0A6" w:rsidRDefault="00A06682" w:rsidP="4F6DD0A6">
      <w:pPr>
        <w:pStyle w:val="ListParagraph"/>
        <w:numPr>
          <w:ilvl w:val="0"/>
          <w:numId w:val="1"/>
        </w:numPr>
        <w:spacing w:after="160" w:line="259" w:lineRule="auto"/>
        <w:rPr>
          <w:rFonts w:ascii="Corbel" w:eastAsia="Corbel" w:hAnsi="Corbel" w:cs="Corbel"/>
          <w:sz w:val="21"/>
          <w:szCs w:val="21"/>
          <w:lang w:val="en-GB"/>
        </w:rPr>
      </w:pPr>
      <w:hyperlink r:id="rId29" w:history="1">
        <w:r w:rsidR="4F6DD0A6" w:rsidRPr="4F6DD0A6">
          <w:rPr>
            <w:rStyle w:val="Hyperlink"/>
            <w:rFonts w:ascii="Corbel" w:eastAsia="Corbel" w:hAnsi="Corbel" w:cs="Corbel"/>
            <w:sz w:val="21"/>
            <w:szCs w:val="21"/>
            <w:lang w:val="en-GB"/>
          </w:rPr>
          <w:t>Covid-19 and trade: finding opportunity in crisis</w:t>
        </w:r>
      </w:hyperlink>
      <w:r w:rsidR="4F6DD0A6" w:rsidRPr="4F6DD0A6">
        <w:rPr>
          <w:rFonts w:ascii="Corbel" w:eastAsia="Corbel" w:hAnsi="Corbel" w:cs="Corbel"/>
          <w:sz w:val="21"/>
          <w:szCs w:val="21"/>
          <w:lang w:val="en-GB"/>
        </w:rPr>
        <w:t xml:space="preserve"> (2020)</w:t>
      </w:r>
    </w:p>
    <w:p w14:paraId="059319C3" w14:textId="41D172F3" w:rsidR="4F6DD0A6" w:rsidRDefault="00A06682" w:rsidP="4F6DD0A6">
      <w:pPr>
        <w:pStyle w:val="ListParagraph"/>
        <w:numPr>
          <w:ilvl w:val="0"/>
          <w:numId w:val="1"/>
        </w:numPr>
        <w:spacing w:after="160" w:line="259" w:lineRule="auto"/>
        <w:rPr>
          <w:rFonts w:ascii="Corbel" w:eastAsia="Corbel" w:hAnsi="Corbel" w:cs="Corbel"/>
          <w:sz w:val="21"/>
          <w:szCs w:val="21"/>
          <w:lang w:val="en-GB"/>
        </w:rPr>
      </w:pPr>
      <w:hyperlink r:id="rId30" w:history="1">
        <w:r w:rsidR="4F6DD0A6" w:rsidRPr="4F6DD0A6">
          <w:rPr>
            <w:rStyle w:val="Hyperlink"/>
            <w:rFonts w:ascii="Corbel" w:eastAsia="Corbel" w:hAnsi="Corbel" w:cs="Corbel"/>
            <w:sz w:val="21"/>
            <w:szCs w:val="21"/>
            <w:lang w:val="en-GB"/>
          </w:rPr>
          <w:t>Leveraging trade for women’s empowerment in the Arab region</w:t>
        </w:r>
      </w:hyperlink>
      <w:r w:rsidR="4F6DD0A6" w:rsidRPr="4F6DD0A6">
        <w:rPr>
          <w:rFonts w:ascii="Corbel" w:eastAsia="Corbel" w:hAnsi="Corbel" w:cs="Corbel"/>
          <w:sz w:val="21"/>
          <w:szCs w:val="21"/>
          <w:lang w:val="en-GB"/>
        </w:rPr>
        <w:t xml:space="preserve"> (2021)</w:t>
      </w:r>
    </w:p>
    <w:p w14:paraId="678A8C4E" w14:textId="407BC1DC" w:rsidR="4F6DD0A6" w:rsidRDefault="00A06682" w:rsidP="4F6DD0A6">
      <w:pPr>
        <w:pStyle w:val="ListParagraph"/>
        <w:numPr>
          <w:ilvl w:val="0"/>
          <w:numId w:val="1"/>
        </w:numPr>
        <w:spacing w:after="160" w:line="259" w:lineRule="auto"/>
        <w:rPr>
          <w:rFonts w:ascii="Corbel" w:eastAsia="Corbel" w:hAnsi="Corbel" w:cs="Corbel"/>
          <w:sz w:val="21"/>
          <w:szCs w:val="21"/>
          <w:lang w:val="en-GB"/>
        </w:rPr>
      </w:pPr>
      <w:hyperlink r:id="rId31" w:history="1">
        <w:r w:rsidR="4F6DD0A6" w:rsidRPr="4F6DD0A6">
          <w:rPr>
            <w:rStyle w:val="Hyperlink"/>
            <w:rFonts w:ascii="Corbel" w:eastAsia="Corbel" w:hAnsi="Corbel" w:cs="Corbel"/>
            <w:sz w:val="21"/>
            <w:szCs w:val="21"/>
            <w:lang w:val="en-GB"/>
          </w:rPr>
          <w:t>UNDP and SIDA Support Lebanese Companies Export to the United States</w:t>
        </w:r>
      </w:hyperlink>
      <w:r w:rsidR="4F6DD0A6" w:rsidRPr="4F6DD0A6">
        <w:rPr>
          <w:rFonts w:ascii="Corbel" w:eastAsia="Corbel" w:hAnsi="Corbel" w:cs="Corbel"/>
          <w:sz w:val="21"/>
          <w:szCs w:val="21"/>
          <w:lang w:val="en-GB"/>
        </w:rPr>
        <w:t xml:space="preserve"> (2022)</w:t>
      </w:r>
    </w:p>
    <w:p w14:paraId="577E19C5" w14:textId="19745509" w:rsidR="4F6DD0A6" w:rsidRDefault="4F6DD0A6" w:rsidP="4F6DD0A6">
      <w:pPr>
        <w:spacing w:after="160" w:line="259" w:lineRule="auto"/>
        <w:rPr>
          <w:rFonts w:ascii="Corbel" w:hAnsi="Corbel" w:cs="Arial"/>
          <w:sz w:val="21"/>
          <w:szCs w:val="21"/>
          <w:lang w:val="en-GB"/>
        </w:rPr>
      </w:pPr>
      <w:r w:rsidRPr="4F6DD0A6">
        <w:rPr>
          <w:rFonts w:ascii="Corbel" w:hAnsi="Corbel" w:cs="Arial"/>
          <w:sz w:val="21"/>
          <w:szCs w:val="21"/>
          <w:lang w:val="en-GB"/>
        </w:rPr>
        <w:t xml:space="preserve">During </w:t>
      </w:r>
      <w:r w:rsidR="009F18B8">
        <w:rPr>
          <w:rFonts w:ascii="Corbel" w:hAnsi="Corbel" w:cs="Arial"/>
          <w:sz w:val="21"/>
          <w:szCs w:val="21"/>
          <w:lang w:val="en-GB"/>
        </w:rPr>
        <w:t xml:space="preserve">the </w:t>
      </w:r>
      <w:r w:rsidRPr="4F6DD0A6">
        <w:rPr>
          <w:rFonts w:ascii="Corbel" w:hAnsi="Corbel" w:cs="Arial"/>
          <w:sz w:val="21"/>
          <w:szCs w:val="21"/>
          <w:lang w:val="en-GB"/>
        </w:rPr>
        <w:t xml:space="preserve">project’s implementation, a </w:t>
      </w:r>
      <w:hyperlink r:id="rId32" w:history="1">
        <w:r w:rsidRPr="007B5D2D">
          <w:rPr>
            <w:rStyle w:val="Hyperlink"/>
            <w:rFonts w:ascii="Corbel" w:hAnsi="Corbel" w:cs="Arial"/>
            <w:sz w:val="21"/>
            <w:szCs w:val="21"/>
            <w:lang w:val="en-GB"/>
          </w:rPr>
          <w:t>project page</w:t>
        </w:r>
      </w:hyperlink>
      <w:r w:rsidRPr="4F6DD0A6">
        <w:rPr>
          <w:rFonts w:ascii="Corbel" w:hAnsi="Corbel" w:cs="Arial"/>
          <w:sz w:val="21"/>
          <w:szCs w:val="21"/>
          <w:lang w:val="en-GB"/>
        </w:rPr>
        <w:t xml:space="preserve"> was created on UNDP Arab States website describing the scope of the initiative.</w:t>
      </w:r>
    </w:p>
    <w:p w14:paraId="59A4A04C" w14:textId="097F06B4" w:rsidR="00992D0E" w:rsidRDefault="00992D0E" w:rsidP="00A9193B">
      <w:pPr>
        <w:pStyle w:val="ListParagraph"/>
        <w:spacing w:before="120" w:after="120" w:line="300" w:lineRule="exact"/>
        <w:ind w:left="0"/>
        <w:jc w:val="both"/>
        <w:rPr>
          <w:rFonts w:ascii="Corbel" w:hAnsi="Corbel" w:cs="Arial"/>
          <w:b/>
          <w:bCs/>
          <w:sz w:val="21"/>
          <w:szCs w:val="21"/>
          <w:lang w:val="en-GB"/>
        </w:rPr>
      </w:pPr>
      <w:r w:rsidRPr="00A9193B">
        <w:rPr>
          <w:rFonts w:ascii="Corbel" w:hAnsi="Corbel" w:cs="Arial"/>
          <w:b/>
          <w:bCs/>
          <w:sz w:val="21"/>
          <w:szCs w:val="21"/>
          <w:lang w:val="en-GB"/>
        </w:rPr>
        <w:t>Social Media</w:t>
      </w:r>
    </w:p>
    <w:p w14:paraId="300ACFE5" w14:textId="48B9ABD5" w:rsidR="00992D0E" w:rsidRDefault="00992D0E" w:rsidP="0F3A49C3">
      <w:pPr>
        <w:pStyle w:val="ListParagraph"/>
        <w:spacing w:before="120" w:after="120" w:line="300" w:lineRule="exact"/>
        <w:ind w:left="0"/>
        <w:jc w:val="both"/>
        <w:rPr>
          <w:rFonts w:ascii="Corbel" w:hAnsi="Corbel" w:cs="Arial"/>
          <w:sz w:val="21"/>
          <w:szCs w:val="21"/>
          <w:lang w:val="en-GB"/>
        </w:rPr>
      </w:pPr>
      <w:r w:rsidRPr="0F3A49C3">
        <w:rPr>
          <w:rFonts w:ascii="Corbel" w:hAnsi="Corbel" w:cs="Arial"/>
          <w:sz w:val="21"/>
          <w:szCs w:val="21"/>
          <w:lang w:val="en-GB"/>
        </w:rPr>
        <w:t xml:space="preserve">To expand visibility and outreach, and ensure </w:t>
      </w:r>
      <w:r w:rsidR="009F18B8">
        <w:rPr>
          <w:rFonts w:ascii="Corbel" w:hAnsi="Corbel" w:cs="Arial"/>
          <w:sz w:val="21"/>
          <w:szCs w:val="21"/>
          <w:lang w:val="en-GB"/>
        </w:rPr>
        <w:t xml:space="preserve">the </w:t>
      </w:r>
      <w:r w:rsidRPr="0F3A49C3">
        <w:rPr>
          <w:rFonts w:ascii="Corbel" w:hAnsi="Corbel" w:cs="Arial"/>
          <w:sz w:val="21"/>
          <w:szCs w:val="21"/>
          <w:lang w:val="en-GB"/>
        </w:rPr>
        <w:t xml:space="preserve">dissemination of messages, the project mainly utilized the UNDP official account in the Arab States, </w:t>
      </w:r>
      <w:hyperlink r:id="rId33">
        <w:r w:rsidRPr="0F3A49C3">
          <w:rPr>
            <w:rFonts w:ascii="Corbel" w:hAnsi="Corbel" w:cs="Arial"/>
            <w:sz w:val="21"/>
            <w:szCs w:val="21"/>
            <w:lang w:val="en-GB"/>
          </w:rPr>
          <w:t>UNDP Arabic</w:t>
        </w:r>
      </w:hyperlink>
      <w:r w:rsidRPr="0F3A49C3">
        <w:rPr>
          <w:rFonts w:ascii="Corbel" w:hAnsi="Corbel" w:cs="Arial"/>
          <w:sz w:val="21"/>
          <w:szCs w:val="21"/>
          <w:lang w:val="en-GB"/>
        </w:rPr>
        <w:t xml:space="preserve">, a popular social media page that has an audience of over 101,000 users on Twitter. Over 60 tweets related to the project were posted, reaching over </w:t>
      </w:r>
      <w:r w:rsidR="007B5D2D">
        <w:rPr>
          <w:rFonts w:ascii="Corbel" w:hAnsi="Corbel" w:cs="Arial"/>
          <w:sz w:val="21"/>
          <w:szCs w:val="21"/>
          <w:lang w:val="en-GB"/>
        </w:rPr>
        <w:t>38,800 impressions</w:t>
      </w:r>
      <w:r w:rsidRPr="0F3A49C3">
        <w:rPr>
          <w:rFonts w:ascii="Corbel" w:hAnsi="Corbel" w:cs="Arial"/>
          <w:sz w:val="21"/>
          <w:szCs w:val="21"/>
          <w:lang w:val="en-GB"/>
        </w:rPr>
        <w:t xml:space="preserve"> through the hashtag #TradeSDGs. </w:t>
      </w:r>
    </w:p>
    <w:p w14:paraId="1F0CBFB8" w14:textId="4D9B93A6" w:rsidR="00992D0E" w:rsidRDefault="00992D0E" w:rsidP="4F6DD0A6">
      <w:pPr>
        <w:pStyle w:val="ListParagraph"/>
        <w:spacing w:before="120" w:after="120" w:line="300" w:lineRule="exact"/>
        <w:ind w:left="0"/>
        <w:jc w:val="both"/>
        <w:rPr>
          <w:rFonts w:ascii="Corbel" w:hAnsi="Corbel" w:cs="Arial"/>
          <w:sz w:val="21"/>
          <w:szCs w:val="21"/>
          <w:lang w:val="en-GB"/>
        </w:rPr>
      </w:pPr>
      <w:r w:rsidRPr="0F3A49C3">
        <w:rPr>
          <w:rFonts w:ascii="Corbel" w:hAnsi="Corbel" w:cs="Arial"/>
          <w:sz w:val="21"/>
          <w:szCs w:val="21"/>
          <w:lang w:val="en-GB"/>
        </w:rPr>
        <w:t xml:space="preserve">The project leveraged International Women's Day 2022, posting a </w:t>
      </w:r>
      <w:hyperlink r:id="rId34" w:history="1">
        <w:r w:rsidRPr="0F3A49C3">
          <w:rPr>
            <w:rStyle w:val="Hyperlink"/>
            <w:rFonts w:ascii="Corbel" w:hAnsi="Corbel" w:cs="Arial"/>
            <w:sz w:val="21"/>
            <w:szCs w:val="21"/>
            <w:lang w:val="en-GB"/>
          </w:rPr>
          <w:t>short video</w:t>
        </w:r>
      </w:hyperlink>
      <w:r w:rsidR="4F6DD0A6" w:rsidRPr="0F3A49C3">
        <w:rPr>
          <w:rFonts w:ascii="Corbel" w:hAnsi="Corbel" w:cs="Arial"/>
          <w:sz w:val="21"/>
          <w:szCs w:val="21"/>
          <w:lang w:val="en-GB"/>
        </w:rPr>
        <w:t xml:space="preserve"> including part of an interview with Nadia Fatemi, the Chairperson of Agadir Cooperatives Association describing how UNDP and </w:t>
      </w:r>
      <w:proofErr w:type="spellStart"/>
      <w:r w:rsidR="4F6DD0A6" w:rsidRPr="0F3A49C3">
        <w:rPr>
          <w:rFonts w:ascii="Corbel" w:hAnsi="Corbel" w:cs="Arial"/>
          <w:sz w:val="21"/>
          <w:szCs w:val="21"/>
          <w:lang w:val="en-GB"/>
        </w:rPr>
        <w:t>Sida</w:t>
      </w:r>
      <w:proofErr w:type="spellEnd"/>
      <w:r w:rsidR="4F6DD0A6" w:rsidRPr="0F3A49C3">
        <w:rPr>
          <w:rFonts w:ascii="Corbel" w:hAnsi="Corbel" w:cs="Arial"/>
          <w:sz w:val="21"/>
          <w:szCs w:val="21"/>
          <w:lang w:val="en-GB"/>
        </w:rPr>
        <w:t xml:space="preserve"> are supporting Argan Oil Women Cooperatives to export their products on the market through digital marketing, branding and coaching (over 290 video views). </w:t>
      </w:r>
    </w:p>
    <w:p w14:paraId="420E5ACE" w14:textId="7616B3EE" w:rsidR="4F6DD0A6" w:rsidRDefault="2F4046D8" w:rsidP="4F6DD0A6">
      <w:pPr>
        <w:pStyle w:val="ListParagraph"/>
        <w:spacing w:before="120" w:after="120" w:line="300" w:lineRule="exact"/>
        <w:ind w:left="0"/>
        <w:jc w:val="both"/>
        <w:rPr>
          <w:rFonts w:ascii="Corbel" w:hAnsi="Corbel" w:cs="Arial"/>
          <w:sz w:val="21"/>
          <w:szCs w:val="21"/>
          <w:lang w:val="en-GB"/>
        </w:rPr>
      </w:pPr>
      <w:r w:rsidRPr="0CB6BCAA">
        <w:rPr>
          <w:rFonts w:ascii="Corbel" w:hAnsi="Corbel" w:cs="Arial"/>
          <w:sz w:val="21"/>
          <w:szCs w:val="21"/>
          <w:lang w:val="en-GB"/>
        </w:rPr>
        <w:t>News on activities related to s</w:t>
      </w:r>
      <w:r w:rsidR="001B5E55" w:rsidRPr="0CB6BCAA">
        <w:rPr>
          <w:rFonts w:ascii="Corbel" w:hAnsi="Corbel" w:cs="Arial"/>
          <w:sz w:val="21"/>
          <w:szCs w:val="21"/>
          <w:lang w:val="en-GB"/>
        </w:rPr>
        <w:t>upporting Lebanese SMEs</w:t>
      </w:r>
      <w:r w:rsidR="29FDE7C8" w:rsidRPr="0CB6BCAA">
        <w:rPr>
          <w:rFonts w:ascii="Corbel" w:hAnsi="Corbel" w:cs="Arial"/>
          <w:sz w:val="21"/>
          <w:szCs w:val="21"/>
          <w:lang w:val="en-GB"/>
        </w:rPr>
        <w:t xml:space="preserve"> </w:t>
      </w:r>
      <w:r w:rsidR="001B5E55" w:rsidRPr="0CB6BCAA">
        <w:rPr>
          <w:rFonts w:ascii="Corbel" w:hAnsi="Corbel" w:cs="Arial"/>
          <w:sz w:val="21"/>
          <w:szCs w:val="21"/>
          <w:lang w:val="en-GB"/>
        </w:rPr>
        <w:t xml:space="preserve">in the exportation of Lebanese products to the US market in partnership with Fair Trade Lebanon were further disseminated through UNDP Lebanon social media accounts (Twitter, Instagram, Facebook and </w:t>
      </w:r>
      <w:proofErr w:type="spellStart"/>
      <w:r w:rsidR="001B5E55" w:rsidRPr="0CB6BCAA">
        <w:rPr>
          <w:rFonts w:ascii="Corbel" w:hAnsi="Corbel" w:cs="Arial"/>
          <w:sz w:val="21"/>
          <w:szCs w:val="21"/>
          <w:lang w:val="en-GB"/>
        </w:rPr>
        <w:t>Linkedin</w:t>
      </w:r>
      <w:proofErr w:type="spellEnd"/>
      <w:r w:rsidR="001B5E55" w:rsidRPr="0CB6BCAA">
        <w:rPr>
          <w:rFonts w:ascii="Corbel" w:hAnsi="Corbel" w:cs="Arial"/>
          <w:sz w:val="21"/>
          <w:szCs w:val="21"/>
          <w:lang w:val="en-GB"/>
        </w:rPr>
        <w:t>)</w:t>
      </w:r>
      <w:r w:rsidR="007B5D2D">
        <w:rPr>
          <w:rFonts w:ascii="Corbel" w:hAnsi="Corbel" w:cs="Arial"/>
          <w:sz w:val="21"/>
          <w:szCs w:val="21"/>
          <w:lang w:val="en-GB"/>
        </w:rPr>
        <w:t xml:space="preserve"> in 2022,</w:t>
      </w:r>
      <w:r w:rsidR="001B5E55" w:rsidRPr="0CB6BCAA">
        <w:rPr>
          <w:rFonts w:ascii="Corbel" w:hAnsi="Corbel" w:cs="Arial"/>
          <w:sz w:val="21"/>
          <w:szCs w:val="21"/>
          <w:lang w:val="en-GB"/>
        </w:rPr>
        <w:t xml:space="preserve"> reaching over 10,700 people. </w:t>
      </w:r>
    </w:p>
    <w:p w14:paraId="11D3FBFD" w14:textId="77777777" w:rsidR="008538CA" w:rsidRDefault="008538CA">
      <w:pPr>
        <w:spacing w:after="160" w:line="259" w:lineRule="auto"/>
        <w:rPr>
          <w:rFonts w:ascii="Corbel" w:hAnsi="Corbel" w:cs="Arial"/>
          <w:bCs/>
          <w:sz w:val="21"/>
          <w:szCs w:val="21"/>
          <w:lang w:val="en-GB"/>
        </w:rPr>
        <w:sectPr w:rsidR="008538CA" w:rsidSect="004B0A34">
          <w:footerReference w:type="even" r:id="rId35"/>
          <w:footerReference w:type="default" r:id="rId36"/>
          <w:footerReference w:type="first" r:id="rId37"/>
          <w:pgSz w:w="12240" w:h="15840"/>
          <w:pgMar w:top="900" w:right="900" w:bottom="720" w:left="1440" w:header="720" w:footer="720" w:gutter="0"/>
          <w:cols w:space="720"/>
          <w:docGrid w:linePitch="360"/>
        </w:sectPr>
      </w:pPr>
    </w:p>
    <w:p w14:paraId="3BEFB37C" w14:textId="7327C779" w:rsidR="00952D85" w:rsidRDefault="007C2D47" w:rsidP="00A8214E">
      <w:pPr>
        <w:pStyle w:val="Heading1"/>
        <w:numPr>
          <w:ilvl w:val="0"/>
          <w:numId w:val="5"/>
        </w:numPr>
        <w:rPr>
          <w:lang w:val="en-GB"/>
        </w:rPr>
      </w:pPr>
      <w:bookmarkStart w:id="226" w:name="_Toc103506756"/>
      <w:bookmarkStart w:id="227" w:name="_Hlk102333227"/>
      <w:r w:rsidRPr="00EF1F01">
        <w:rPr>
          <w:lang w:val="en-GB"/>
        </w:rPr>
        <w:lastRenderedPageBreak/>
        <w:t xml:space="preserve">Financial Summary </w:t>
      </w:r>
      <w:r w:rsidR="0010405D">
        <w:rPr>
          <w:lang w:val="en-GB"/>
        </w:rPr>
        <w:t>1 October 2017 – 31 March 2022</w:t>
      </w:r>
      <w:bookmarkEnd w:id="226"/>
    </w:p>
    <w:tbl>
      <w:tblPr>
        <w:tblW w:w="14737" w:type="dxa"/>
        <w:tblLook w:val="04A0" w:firstRow="1" w:lastRow="0" w:firstColumn="1" w:lastColumn="0" w:noHBand="0" w:noVBand="1"/>
      </w:tblPr>
      <w:tblGrid>
        <w:gridCol w:w="1040"/>
        <w:gridCol w:w="5476"/>
        <w:gridCol w:w="1282"/>
        <w:gridCol w:w="9"/>
        <w:gridCol w:w="16"/>
        <w:gridCol w:w="1368"/>
        <w:gridCol w:w="1392"/>
        <w:gridCol w:w="1392"/>
        <w:gridCol w:w="1392"/>
        <w:gridCol w:w="13"/>
        <w:gridCol w:w="1312"/>
        <w:gridCol w:w="7"/>
        <w:gridCol w:w="25"/>
        <w:gridCol w:w="13"/>
      </w:tblGrid>
      <w:tr w:rsidR="006A6FA5" w:rsidRPr="0051023F" w14:paraId="59C97D89" w14:textId="77777777" w:rsidTr="00E20605">
        <w:trPr>
          <w:trHeight w:val="315"/>
        </w:trPr>
        <w:tc>
          <w:tcPr>
            <w:tcW w:w="7823" w:type="dxa"/>
            <w:gridSpan w:val="5"/>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4EAE1C24" w14:textId="742E2E4F" w:rsidR="0051023F" w:rsidRPr="0051023F" w:rsidRDefault="0051023F" w:rsidP="0051023F">
            <w:pPr>
              <w:jc w:val="center"/>
              <w:rPr>
                <w:rFonts w:ascii="Calibri" w:eastAsia="Times New Roman" w:hAnsi="Calibri" w:cs="Calibri"/>
                <w:color w:val="000000"/>
                <w:sz w:val="22"/>
                <w:szCs w:val="22"/>
                <w:lang w:val="en-GB" w:eastAsia="en-GB"/>
              </w:rPr>
            </w:pPr>
          </w:p>
        </w:tc>
        <w:tc>
          <w:tcPr>
            <w:tcW w:w="6914" w:type="dxa"/>
            <w:gridSpan w:val="9"/>
            <w:tcBorders>
              <w:top w:val="single" w:sz="8" w:space="0" w:color="000000"/>
              <w:left w:val="nil"/>
              <w:bottom w:val="single" w:sz="8" w:space="0" w:color="000000"/>
              <w:right w:val="single" w:sz="4" w:space="0" w:color="000000"/>
            </w:tcBorders>
            <w:shd w:val="clear" w:color="auto" w:fill="auto"/>
            <w:vAlign w:val="center"/>
            <w:hideMark/>
          </w:tcPr>
          <w:p w14:paraId="087A6035" w14:textId="7321D67B" w:rsidR="0051023F" w:rsidRPr="0051023F" w:rsidRDefault="0051023F" w:rsidP="0051023F">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Expenditures</w:t>
            </w:r>
          </w:p>
        </w:tc>
      </w:tr>
      <w:tr w:rsidR="006A6FA5" w:rsidRPr="0051023F" w14:paraId="1BB04614" w14:textId="77777777" w:rsidTr="00E20605">
        <w:trPr>
          <w:gridAfter w:val="2"/>
          <w:wAfter w:w="38" w:type="dxa"/>
          <w:trHeight w:val="325"/>
        </w:trPr>
        <w:tc>
          <w:tcPr>
            <w:tcW w:w="6516" w:type="dxa"/>
            <w:gridSpan w:val="2"/>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21E1D806" w14:textId="50A621A4" w:rsidR="00981DDD" w:rsidRPr="0051023F" w:rsidRDefault="00981DDD" w:rsidP="0051023F">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Description</w:t>
            </w:r>
          </w:p>
        </w:tc>
        <w:tc>
          <w:tcPr>
            <w:tcW w:w="1282" w:type="dxa"/>
            <w:tcBorders>
              <w:top w:val="nil"/>
              <w:left w:val="single" w:sz="8" w:space="0" w:color="000000"/>
              <w:bottom w:val="single" w:sz="8" w:space="0" w:color="000000"/>
              <w:right w:val="single" w:sz="8" w:space="0" w:color="000000"/>
            </w:tcBorders>
            <w:shd w:val="clear" w:color="auto" w:fill="auto"/>
            <w:vAlign w:val="center"/>
            <w:hideMark/>
          </w:tcPr>
          <w:p w14:paraId="70291D31" w14:textId="203FBF0F" w:rsidR="00981DDD" w:rsidRPr="0051023F" w:rsidRDefault="00981DDD" w:rsidP="0051023F">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Budget</w:t>
            </w:r>
          </w:p>
        </w:tc>
        <w:tc>
          <w:tcPr>
            <w:tcW w:w="1393" w:type="dxa"/>
            <w:gridSpan w:val="3"/>
            <w:tcBorders>
              <w:top w:val="nil"/>
              <w:left w:val="single" w:sz="8" w:space="0" w:color="000000"/>
              <w:bottom w:val="single" w:sz="8" w:space="0" w:color="000000"/>
              <w:right w:val="single" w:sz="8" w:space="0" w:color="000000"/>
            </w:tcBorders>
            <w:shd w:val="clear" w:color="auto" w:fill="auto"/>
            <w:vAlign w:val="center"/>
            <w:hideMark/>
          </w:tcPr>
          <w:p w14:paraId="7451D7C9" w14:textId="77777777" w:rsidR="00981DDD" w:rsidRPr="0051023F" w:rsidRDefault="00981DDD" w:rsidP="0051023F">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Q3 2017 &amp; 2018</w:t>
            </w:r>
            <w:r w:rsidRPr="0051023F">
              <w:rPr>
                <w:rFonts w:ascii="Calibri" w:eastAsia="Times New Roman" w:hAnsi="Calibri" w:cs="Calibri"/>
                <w:color w:val="000000"/>
                <w:sz w:val="22"/>
                <w:szCs w:val="22"/>
                <w:lang w:val="en-GB" w:eastAsia="en-GB"/>
              </w:rPr>
              <w:t> </w:t>
            </w:r>
          </w:p>
        </w:tc>
        <w:tc>
          <w:tcPr>
            <w:tcW w:w="1392" w:type="dxa"/>
            <w:tcBorders>
              <w:top w:val="nil"/>
              <w:left w:val="single" w:sz="8" w:space="0" w:color="000000"/>
              <w:bottom w:val="single" w:sz="8" w:space="0" w:color="000000"/>
              <w:right w:val="single" w:sz="8" w:space="0" w:color="000000"/>
            </w:tcBorders>
            <w:shd w:val="clear" w:color="auto" w:fill="auto"/>
            <w:vAlign w:val="center"/>
            <w:hideMark/>
          </w:tcPr>
          <w:p w14:paraId="02D024F2" w14:textId="1D1756DE" w:rsidR="00981DDD" w:rsidRPr="0051023F" w:rsidRDefault="00981DDD" w:rsidP="0051023F">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2019</w:t>
            </w:r>
          </w:p>
        </w:tc>
        <w:tc>
          <w:tcPr>
            <w:tcW w:w="1392" w:type="dxa"/>
            <w:tcBorders>
              <w:top w:val="nil"/>
              <w:left w:val="nil"/>
              <w:bottom w:val="single" w:sz="8" w:space="0" w:color="000000"/>
              <w:right w:val="single" w:sz="8" w:space="0" w:color="000000"/>
            </w:tcBorders>
            <w:shd w:val="clear" w:color="auto" w:fill="auto"/>
            <w:vAlign w:val="center"/>
            <w:hideMark/>
          </w:tcPr>
          <w:p w14:paraId="06261330" w14:textId="77777777" w:rsidR="00981DDD" w:rsidRPr="0051023F" w:rsidRDefault="00981DDD" w:rsidP="0051023F">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2020</w:t>
            </w:r>
          </w:p>
        </w:tc>
        <w:tc>
          <w:tcPr>
            <w:tcW w:w="1392" w:type="dxa"/>
            <w:tcBorders>
              <w:top w:val="nil"/>
              <w:left w:val="nil"/>
              <w:right w:val="nil"/>
            </w:tcBorders>
            <w:shd w:val="clear" w:color="auto" w:fill="auto"/>
            <w:vAlign w:val="center"/>
            <w:hideMark/>
          </w:tcPr>
          <w:p w14:paraId="699A016C" w14:textId="77777777" w:rsidR="005A5752" w:rsidRDefault="00981DDD" w:rsidP="00981DDD">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2021 &amp;</w:t>
            </w:r>
          </w:p>
          <w:p w14:paraId="7DBABF8D" w14:textId="006624AF" w:rsidR="00981DDD" w:rsidRPr="0051023F" w:rsidRDefault="00981DDD" w:rsidP="00981DDD">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Q1 2022</w:t>
            </w:r>
            <w:r w:rsidRPr="0051023F">
              <w:rPr>
                <w:rFonts w:ascii="Calibri" w:eastAsia="Times New Roman" w:hAnsi="Calibri" w:cs="Calibri"/>
                <w:color w:val="000000"/>
                <w:sz w:val="22"/>
                <w:szCs w:val="22"/>
                <w:lang w:val="en-GB" w:eastAsia="en-GB"/>
              </w:rPr>
              <w:t> </w:t>
            </w:r>
          </w:p>
        </w:tc>
        <w:tc>
          <w:tcPr>
            <w:tcW w:w="1332" w:type="dxa"/>
            <w:gridSpan w:val="3"/>
            <w:tcBorders>
              <w:top w:val="nil"/>
              <w:left w:val="single" w:sz="8" w:space="0" w:color="000000"/>
              <w:bottom w:val="single" w:sz="8" w:space="0" w:color="000000"/>
              <w:right w:val="single" w:sz="4" w:space="0" w:color="000000"/>
            </w:tcBorders>
            <w:shd w:val="clear" w:color="auto" w:fill="auto"/>
            <w:vAlign w:val="center"/>
            <w:hideMark/>
          </w:tcPr>
          <w:p w14:paraId="00536E04" w14:textId="77777777" w:rsidR="00981DDD" w:rsidRPr="0051023F" w:rsidRDefault="00981DDD" w:rsidP="0051023F">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Total 2017-2022</w:t>
            </w:r>
            <w:r w:rsidRPr="0051023F">
              <w:rPr>
                <w:rFonts w:ascii="Calibri" w:eastAsia="Times New Roman" w:hAnsi="Calibri" w:cs="Calibri"/>
                <w:color w:val="000000"/>
                <w:sz w:val="22"/>
                <w:szCs w:val="22"/>
                <w:lang w:val="en-GB" w:eastAsia="en-GB"/>
              </w:rPr>
              <w:t> </w:t>
            </w:r>
          </w:p>
        </w:tc>
      </w:tr>
      <w:tr w:rsidR="006E370C" w:rsidRPr="0051023F" w14:paraId="695C3DA1" w14:textId="77777777" w:rsidTr="00E20605">
        <w:trPr>
          <w:trHeight w:val="315"/>
        </w:trPr>
        <w:tc>
          <w:tcPr>
            <w:tcW w:w="14737" w:type="dxa"/>
            <w:gridSpan w:val="14"/>
            <w:tcBorders>
              <w:top w:val="single" w:sz="8" w:space="0" w:color="000000"/>
              <w:left w:val="single" w:sz="4" w:space="0" w:color="000000"/>
              <w:bottom w:val="single" w:sz="8" w:space="0" w:color="000000"/>
              <w:right w:val="single" w:sz="4" w:space="0" w:color="000000"/>
            </w:tcBorders>
            <w:shd w:val="clear" w:color="auto" w:fill="auto"/>
            <w:vAlign w:val="center"/>
            <w:hideMark/>
          </w:tcPr>
          <w:p w14:paraId="642B39FB" w14:textId="0B2DB267" w:rsidR="006E370C" w:rsidRPr="0051023F" w:rsidRDefault="006E370C" w:rsidP="0051023F">
            <w:pP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 xml:space="preserve">OUTCOME </w:t>
            </w:r>
            <w:proofErr w:type="gramStart"/>
            <w:r w:rsidRPr="0051023F">
              <w:rPr>
                <w:rFonts w:ascii="Calibri" w:eastAsia="Times New Roman" w:hAnsi="Calibri" w:cs="Calibri"/>
                <w:b/>
                <w:bCs/>
                <w:color w:val="000000"/>
                <w:sz w:val="22"/>
                <w:szCs w:val="22"/>
                <w:lang w:val="en-GB" w:eastAsia="en-GB"/>
              </w:rPr>
              <w:t>1</w:t>
            </w:r>
            <w:r>
              <w:rPr>
                <w:rFonts w:ascii="Calibri" w:eastAsia="Times New Roman" w:hAnsi="Calibri" w:cs="Calibri"/>
                <w:b/>
                <w:bCs/>
                <w:color w:val="000000"/>
                <w:sz w:val="22"/>
                <w:szCs w:val="22"/>
                <w:lang w:val="en-GB" w:eastAsia="en-GB"/>
              </w:rPr>
              <w:t>:</w:t>
            </w:r>
            <w:r w:rsidRPr="0051023F">
              <w:rPr>
                <w:rFonts w:ascii="Calibri" w:eastAsia="Times New Roman" w:hAnsi="Calibri" w:cs="Calibri"/>
                <w:b/>
                <w:bCs/>
                <w:color w:val="000000"/>
                <w:sz w:val="22"/>
                <w:szCs w:val="22"/>
                <w:lang w:val="en-GB" w:eastAsia="en-GB"/>
              </w:rPr>
              <w:t>Capacity</w:t>
            </w:r>
            <w:proofErr w:type="gramEnd"/>
            <w:r w:rsidRPr="0051023F">
              <w:rPr>
                <w:rFonts w:ascii="Calibri" w:eastAsia="Times New Roman" w:hAnsi="Calibri" w:cs="Calibri"/>
                <w:b/>
                <w:bCs/>
                <w:color w:val="000000"/>
                <w:sz w:val="22"/>
                <w:szCs w:val="22"/>
                <w:lang w:val="en-GB" w:eastAsia="en-GB"/>
              </w:rPr>
              <w:t xml:space="preserve"> of the League of Arab States strengthened to manage regional economic integration related processes</w:t>
            </w:r>
          </w:p>
        </w:tc>
      </w:tr>
      <w:tr w:rsidR="006A6FA5" w:rsidRPr="0051023F" w14:paraId="6D9B79B7" w14:textId="77777777" w:rsidTr="00E20605">
        <w:trPr>
          <w:gridAfter w:val="3"/>
          <w:wAfter w:w="45" w:type="dxa"/>
          <w:trHeight w:val="315"/>
        </w:trPr>
        <w:tc>
          <w:tcPr>
            <w:tcW w:w="1040" w:type="dxa"/>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12B53577" w14:textId="0D7455ED" w:rsidR="0051023F" w:rsidRPr="0051023F" w:rsidRDefault="0051023F" w:rsidP="0051023F">
            <w:pP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Output 1</w:t>
            </w:r>
          </w:p>
        </w:tc>
        <w:tc>
          <w:tcPr>
            <w:tcW w:w="5476" w:type="dxa"/>
            <w:tcBorders>
              <w:top w:val="single" w:sz="8" w:space="0" w:color="000000"/>
              <w:left w:val="nil"/>
              <w:bottom w:val="single" w:sz="8" w:space="0" w:color="000000"/>
              <w:right w:val="single" w:sz="8" w:space="0" w:color="000000"/>
            </w:tcBorders>
            <w:shd w:val="clear" w:color="auto" w:fill="auto"/>
            <w:vAlign w:val="center"/>
            <w:hideMark/>
          </w:tcPr>
          <w:p w14:paraId="4CD0BFE4" w14:textId="5DD4F52C" w:rsidR="0051023F" w:rsidRPr="0051023F" w:rsidRDefault="00C12A01" w:rsidP="0051023F">
            <w:pPr>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T</w:t>
            </w:r>
            <w:r w:rsidR="0051023F" w:rsidRPr="0051023F">
              <w:rPr>
                <w:rFonts w:ascii="Calibri" w:eastAsia="Times New Roman" w:hAnsi="Calibri" w:cs="Calibri"/>
                <w:color w:val="000000"/>
                <w:sz w:val="22"/>
                <w:szCs w:val="22"/>
                <w:lang w:val="en-GB" w:eastAsia="en-GB"/>
              </w:rPr>
              <w:t>echnical support to LAS secretariat and Arab negotiators on trade policy formulation and reform under PAFTA</w:t>
            </w:r>
          </w:p>
        </w:tc>
        <w:tc>
          <w:tcPr>
            <w:tcW w:w="1291" w:type="dxa"/>
            <w:gridSpan w:val="2"/>
            <w:tcBorders>
              <w:top w:val="nil"/>
              <w:left w:val="nil"/>
              <w:bottom w:val="single" w:sz="8" w:space="0" w:color="000000"/>
              <w:right w:val="single" w:sz="8" w:space="0" w:color="000000"/>
            </w:tcBorders>
            <w:shd w:val="clear" w:color="auto" w:fill="auto"/>
            <w:vAlign w:val="center"/>
            <w:hideMark/>
          </w:tcPr>
          <w:p w14:paraId="7F5E675D" w14:textId="6461A2AE"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1,525,862.7</w:t>
            </w:r>
          </w:p>
        </w:tc>
        <w:tc>
          <w:tcPr>
            <w:tcW w:w="1384" w:type="dxa"/>
            <w:gridSpan w:val="2"/>
            <w:tcBorders>
              <w:top w:val="nil"/>
              <w:left w:val="nil"/>
              <w:bottom w:val="single" w:sz="8" w:space="0" w:color="000000"/>
              <w:right w:val="single" w:sz="8" w:space="0" w:color="000000"/>
            </w:tcBorders>
            <w:shd w:val="clear" w:color="auto" w:fill="auto"/>
            <w:vAlign w:val="center"/>
            <w:hideMark/>
          </w:tcPr>
          <w:p w14:paraId="63B05D4F" w14:textId="077717CA"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474,838.5</w:t>
            </w:r>
          </w:p>
        </w:tc>
        <w:tc>
          <w:tcPr>
            <w:tcW w:w="1392" w:type="dxa"/>
            <w:tcBorders>
              <w:top w:val="nil"/>
              <w:left w:val="nil"/>
              <w:bottom w:val="single" w:sz="8" w:space="0" w:color="000000"/>
              <w:right w:val="single" w:sz="8" w:space="0" w:color="000000"/>
            </w:tcBorders>
            <w:shd w:val="clear" w:color="auto" w:fill="auto"/>
            <w:vAlign w:val="center"/>
            <w:hideMark/>
          </w:tcPr>
          <w:p w14:paraId="7FF889B8" w14:textId="4AEAFE0B"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455,641</w:t>
            </w:r>
          </w:p>
        </w:tc>
        <w:tc>
          <w:tcPr>
            <w:tcW w:w="1392" w:type="dxa"/>
            <w:tcBorders>
              <w:top w:val="nil"/>
              <w:left w:val="nil"/>
              <w:bottom w:val="single" w:sz="8" w:space="0" w:color="000000"/>
              <w:right w:val="single" w:sz="8" w:space="0" w:color="000000"/>
            </w:tcBorders>
            <w:shd w:val="clear" w:color="auto" w:fill="auto"/>
            <w:vAlign w:val="center"/>
            <w:hideMark/>
          </w:tcPr>
          <w:p w14:paraId="7CC858DE" w14:textId="6943E98C"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268,234</w:t>
            </w:r>
          </w:p>
        </w:tc>
        <w:tc>
          <w:tcPr>
            <w:tcW w:w="1405" w:type="dxa"/>
            <w:gridSpan w:val="2"/>
            <w:tcBorders>
              <w:top w:val="nil"/>
              <w:left w:val="nil"/>
              <w:bottom w:val="single" w:sz="8" w:space="0" w:color="000000"/>
              <w:right w:val="single" w:sz="8" w:space="0" w:color="000000"/>
            </w:tcBorders>
            <w:shd w:val="clear" w:color="auto" w:fill="auto"/>
            <w:vAlign w:val="center"/>
            <w:hideMark/>
          </w:tcPr>
          <w:p w14:paraId="2D0634C3" w14:textId="21CC99D0"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351,234</w:t>
            </w:r>
          </w:p>
        </w:tc>
        <w:tc>
          <w:tcPr>
            <w:tcW w:w="1312" w:type="dxa"/>
            <w:tcBorders>
              <w:top w:val="nil"/>
              <w:left w:val="nil"/>
              <w:bottom w:val="single" w:sz="8" w:space="0" w:color="000000"/>
              <w:right w:val="single" w:sz="4" w:space="0" w:color="000000"/>
            </w:tcBorders>
            <w:shd w:val="clear" w:color="auto" w:fill="auto"/>
            <w:vAlign w:val="center"/>
            <w:hideMark/>
          </w:tcPr>
          <w:p w14:paraId="6222D6E8" w14:textId="3FFE3843"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1,549,948</w:t>
            </w:r>
          </w:p>
        </w:tc>
      </w:tr>
      <w:tr w:rsidR="006A6FA5" w:rsidRPr="0051023F" w14:paraId="71176E58" w14:textId="77777777" w:rsidTr="00E20605">
        <w:trPr>
          <w:gridAfter w:val="3"/>
          <w:wAfter w:w="45" w:type="dxa"/>
          <w:trHeight w:val="315"/>
        </w:trPr>
        <w:tc>
          <w:tcPr>
            <w:tcW w:w="1040" w:type="dxa"/>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00994FDB" w14:textId="43110D2F" w:rsidR="0051023F" w:rsidRPr="0051023F" w:rsidRDefault="0051023F" w:rsidP="0051023F">
            <w:pP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Output 2</w:t>
            </w:r>
          </w:p>
        </w:tc>
        <w:tc>
          <w:tcPr>
            <w:tcW w:w="5476" w:type="dxa"/>
            <w:tcBorders>
              <w:top w:val="single" w:sz="8" w:space="0" w:color="000000"/>
              <w:left w:val="nil"/>
              <w:bottom w:val="single" w:sz="8" w:space="0" w:color="000000"/>
              <w:right w:val="single" w:sz="8" w:space="0" w:color="000000"/>
            </w:tcBorders>
            <w:shd w:val="clear" w:color="auto" w:fill="auto"/>
            <w:vAlign w:val="center"/>
            <w:hideMark/>
          </w:tcPr>
          <w:p w14:paraId="1499271B" w14:textId="3EDACA24" w:rsidR="0051023F" w:rsidRPr="0051023F" w:rsidRDefault="00E80F92" w:rsidP="0051023F">
            <w:pPr>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S</w:t>
            </w:r>
            <w:r w:rsidR="0051023F" w:rsidRPr="0051023F">
              <w:rPr>
                <w:rFonts w:ascii="Calibri" w:eastAsia="Times New Roman" w:hAnsi="Calibri" w:cs="Calibri"/>
                <w:color w:val="000000"/>
                <w:sz w:val="22"/>
                <w:szCs w:val="22"/>
                <w:lang w:val="en-GB" w:eastAsia="en-GB"/>
              </w:rPr>
              <w:t>upport for the organizational capacity of LAS secretariat to facilitate the regional economic integration agenda</w:t>
            </w:r>
          </w:p>
        </w:tc>
        <w:tc>
          <w:tcPr>
            <w:tcW w:w="1291" w:type="dxa"/>
            <w:gridSpan w:val="2"/>
            <w:tcBorders>
              <w:top w:val="nil"/>
              <w:left w:val="nil"/>
              <w:bottom w:val="single" w:sz="8" w:space="0" w:color="000000"/>
              <w:right w:val="single" w:sz="8" w:space="0" w:color="000000"/>
            </w:tcBorders>
            <w:shd w:val="clear" w:color="auto" w:fill="auto"/>
            <w:vAlign w:val="center"/>
            <w:hideMark/>
          </w:tcPr>
          <w:p w14:paraId="527DE02B" w14:textId="0FD22F81"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515,040.0</w:t>
            </w:r>
          </w:p>
        </w:tc>
        <w:tc>
          <w:tcPr>
            <w:tcW w:w="1384" w:type="dxa"/>
            <w:gridSpan w:val="2"/>
            <w:tcBorders>
              <w:top w:val="nil"/>
              <w:left w:val="nil"/>
              <w:bottom w:val="single" w:sz="8" w:space="0" w:color="000000"/>
              <w:right w:val="single" w:sz="8" w:space="0" w:color="000000"/>
            </w:tcBorders>
            <w:shd w:val="clear" w:color="auto" w:fill="auto"/>
            <w:vAlign w:val="center"/>
            <w:hideMark/>
          </w:tcPr>
          <w:p w14:paraId="420DC127" w14:textId="6267161A"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149,262.5</w:t>
            </w:r>
          </w:p>
        </w:tc>
        <w:tc>
          <w:tcPr>
            <w:tcW w:w="1392" w:type="dxa"/>
            <w:tcBorders>
              <w:top w:val="nil"/>
              <w:left w:val="nil"/>
              <w:bottom w:val="single" w:sz="8" w:space="0" w:color="000000"/>
              <w:right w:val="single" w:sz="8" w:space="0" w:color="000000"/>
            </w:tcBorders>
            <w:shd w:val="clear" w:color="auto" w:fill="auto"/>
            <w:vAlign w:val="center"/>
            <w:hideMark/>
          </w:tcPr>
          <w:p w14:paraId="24B7CA23" w14:textId="36089BEF"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56,360</w:t>
            </w:r>
          </w:p>
        </w:tc>
        <w:tc>
          <w:tcPr>
            <w:tcW w:w="1392" w:type="dxa"/>
            <w:tcBorders>
              <w:top w:val="nil"/>
              <w:left w:val="nil"/>
              <w:bottom w:val="single" w:sz="8" w:space="0" w:color="000000"/>
              <w:right w:val="single" w:sz="8" w:space="0" w:color="000000"/>
            </w:tcBorders>
            <w:shd w:val="clear" w:color="auto" w:fill="auto"/>
            <w:vAlign w:val="center"/>
            <w:hideMark/>
          </w:tcPr>
          <w:p w14:paraId="39D279CE" w14:textId="1D4CEDF4"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148,775</w:t>
            </w:r>
          </w:p>
        </w:tc>
        <w:tc>
          <w:tcPr>
            <w:tcW w:w="1405" w:type="dxa"/>
            <w:gridSpan w:val="2"/>
            <w:tcBorders>
              <w:top w:val="nil"/>
              <w:left w:val="nil"/>
              <w:bottom w:val="single" w:sz="8" w:space="0" w:color="000000"/>
              <w:right w:val="single" w:sz="8" w:space="0" w:color="000000"/>
            </w:tcBorders>
            <w:shd w:val="clear" w:color="auto" w:fill="auto"/>
            <w:vAlign w:val="center"/>
            <w:hideMark/>
          </w:tcPr>
          <w:p w14:paraId="5A97AC8D" w14:textId="7008BB8C"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104,967</w:t>
            </w:r>
          </w:p>
        </w:tc>
        <w:tc>
          <w:tcPr>
            <w:tcW w:w="1312" w:type="dxa"/>
            <w:tcBorders>
              <w:top w:val="nil"/>
              <w:left w:val="nil"/>
              <w:bottom w:val="single" w:sz="8" w:space="0" w:color="000000"/>
              <w:right w:val="single" w:sz="4" w:space="0" w:color="000000"/>
            </w:tcBorders>
            <w:shd w:val="clear" w:color="auto" w:fill="auto"/>
            <w:vAlign w:val="center"/>
            <w:hideMark/>
          </w:tcPr>
          <w:p w14:paraId="07C37977" w14:textId="6DE6ECE7"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459,365</w:t>
            </w:r>
          </w:p>
        </w:tc>
      </w:tr>
      <w:tr w:rsidR="005A5752" w:rsidRPr="0051023F" w14:paraId="777F46DA" w14:textId="77777777" w:rsidTr="00E20605">
        <w:trPr>
          <w:gridAfter w:val="2"/>
          <w:wAfter w:w="38" w:type="dxa"/>
          <w:trHeight w:val="315"/>
        </w:trPr>
        <w:tc>
          <w:tcPr>
            <w:tcW w:w="6516" w:type="dxa"/>
            <w:gridSpan w:val="2"/>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2AF114F0" w14:textId="4F1B4178"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Subtotal Outcome 1</w:t>
            </w:r>
          </w:p>
        </w:tc>
        <w:tc>
          <w:tcPr>
            <w:tcW w:w="1282" w:type="dxa"/>
            <w:tcBorders>
              <w:top w:val="nil"/>
              <w:left w:val="nil"/>
              <w:bottom w:val="single" w:sz="8" w:space="0" w:color="000000"/>
              <w:right w:val="single" w:sz="8" w:space="0" w:color="000000"/>
            </w:tcBorders>
            <w:shd w:val="clear" w:color="auto" w:fill="auto"/>
            <w:vAlign w:val="center"/>
            <w:hideMark/>
          </w:tcPr>
          <w:p w14:paraId="7DBD1579" w14:textId="437FDBED"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2,040,902.7</w:t>
            </w:r>
          </w:p>
        </w:tc>
        <w:tc>
          <w:tcPr>
            <w:tcW w:w="1393" w:type="dxa"/>
            <w:gridSpan w:val="3"/>
            <w:tcBorders>
              <w:top w:val="nil"/>
              <w:left w:val="nil"/>
              <w:bottom w:val="single" w:sz="8" w:space="0" w:color="000000"/>
              <w:right w:val="single" w:sz="8" w:space="0" w:color="000000"/>
            </w:tcBorders>
            <w:shd w:val="clear" w:color="auto" w:fill="auto"/>
            <w:vAlign w:val="center"/>
            <w:hideMark/>
          </w:tcPr>
          <w:p w14:paraId="59EDBE70" w14:textId="742F3302"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624,101.0</w:t>
            </w:r>
          </w:p>
        </w:tc>
        <w:tc>
          <w:tcPr>
            <w:tcW w:w="1392" w:type="dxa"/>
            <w:tcBorders>
              <w:top w:val="nil"/>
              <w:left w:val="nil"/>
              <w:bottom w:val="single" w:sz="8" w:space="0" w:color="000000"/>
              <w:right w:val="single" w:sz="8" w:space="0" w:color="000000"/>
            </w:tcBorders>
            <w:shd w:val="clear" w:color="auto" w:fill="auto"/>
            <w:vAlign w:val="center"/>
            <w:hideMark/>
          </w:tcPr>
          <w:p w14:paraId="10AFB5B8" w14:textId="07F49859"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512,002</w:t>
            </w:r>
          </w:p>
        </w:tc>
        <w:tc>
          <w:tcPr>
            <w:tcW w:w="1392" w:type="dxa"/>
            <w:tcBorders>
              <w:top w:val="nil"/>
              <w:left w:val="nil"/>
              <w:bottom w:val="single" w:sz="8" w:space="0" w:color="000000"/>
              <w:right w:val="single" w:sz="8" w:space="0" w:color="000000"/>
            </w:tcBorders>
            <w:shd w:val="clear" w:color="auto" w:fill="auto"/>
            <w:vAlign w:val="center"/>
            <w:hideMark/>
          </w:tcPr>
          <w:p w14:paraId="3FDAFDF4" w14:textId="0D120A2D"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417,009</w:t>
            </w:r>
          </w:p>
        </w:tc>
        <w:tc>
          <w:tcPr>
            <w:tcW w:w="1392" w:type="dxa"/>
            <w:tcBorders>
              <w:top w:val="nil"/>
              <w:left w:val="nil"/>
              <w:bottom w:val="single" w:sz="8" w:space="0" w:color="000000"/>
              <w:right w:val="single" w:sz="8" w:space="0" w:color="000000"/>
            </w:tcBorders>
            <w:shd w:val="clear" w:color="auto" w:fill="auto"/>
            <w:vAlign w:val="center"/>
            <w:hideMark/>
          </w:tcPr>
          <w:p w14:paraId="4F4D56A0" w14:textId="5E29BBD9"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456,201</w:t>
            </w:r>
          </w:p>
        </w:tc>
        <w:tc>
          <w:tcPr>
            <w:tcW w:w="1332" w:type="dxa"/>
            <w:gridSpan w:val="3"/>
            <w:tcBorders>
              <w:top w:val="nil"/>
              <w:left w:val="nil"/>
              <w:bottom w:val="single" w:sz="8" w:space="0" w:color="000000"/>
              <w:right w:val="single" w:sz="4" w:space="0" w:color="000000"/>
            </w:tcBorders>
            <w:shd w:val="clear" w:color="auto" w:fill="auto"/>
            <w:vAlign w:val="center"/>
            <w:hideMark/>
          </w:tcPr>
          <w:p w14:paraId="650121EC" w14:textId="7DB57F9F"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2,009,313</w:t>
            </w:r>
          </w:p>
        </w:tc>
      </w:tr>
      <w:tr w:rsidR="006A6FA5" w:rsidRPr="0051023F" w14:paraId="2BE7F031" w14:textId="77777777" w:rsidTr="00E20605">
        <w:trPr>
          <w:gridAfter w:val="1"/>
          <w:wAfter w:w="13" w:type="dxa"/>
          <w:trHeight w:val="315"/>
        </w:trPr>
        <w:tc>
          <w:tcPr>
            <w:tcW w:w="14724" w:type="dxa"/>
            <w:gridSpan w:val="13"/>
            <w:tcBorders>
              <w:top w:val="single" w:sz="8" w:space="0" w:color="000000"/>
              <w:left w:val="single" w:sz="4" w:space="0" w:color="000000"/>
              <w:bottom w:val="single" w:sz="8" w:space="0" w:color="000000"/>
              <w:right w:val="single" w:sz="4" w:space="0" w:color="000000"/>
            </w:tcBorders>
            <w:shd w:val="clear" w:color="auto" w:fill="auto"/>
            <w:vAlign w:val="center"/>
            <w:hideMark/>
          </w:tcPr>
          <w:p w14:paraId="2C3943BA" w14:textId="428FDC48" w:rsidR="006A6FA5" w:rsidRPr="0051023F" w:rsidRDefault="006A6FA5" w:rsidP="006A6FA5">
            <w:pP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Outcome 2</w:t>
            </w:r>
            <w:r>
              <w:rPr>
                <w:rFonts w:ascii="Calibri" w:eastAsia="Times New Roman" w:hAnsi="Calibri" w:cs="Calibri"/>
                <w:b/>
                <w:bCs/>
                <w:color w:val="000000"/>
                <w:sz w:val="22"/>
                <w:szCs w:val="22"/>
                <w:lang w:val="en-GB" w:eastAsia="en-GB"/>
              </w:rPr>
              <w:t xml:space="preserve">: </w:t>
            </w:r>
            <w:r w:rsidRPr="0051023F">
              <w:rPr>
                <w:rFonts w:ascii="Calibri" w:eastAsia="Times New Roman" w:hAnsi="Calibri" w:cs="Calibri"/>
                <w:b/>
                <w:bCs/>
                <w:color w:val="000000"/>
                <w:sz w:val="22"/>
                <w:szCs w:val="22"/>
                <w:lang w:val="en-GB" w:eastAsia="en-GB"/>
              </w:rPr>
              <w:t>Member states are capacitated and technically prepared for regional economic integration</w:t>
            </w:r>
          </w:p>
        </w:tc>
      </w:tr>
      <w:tr w:rsidR="006A6FA5" w:rsidRPr="0051023F" w14:paraId="0C55DB8C" w14:textId="77777777" w:rsidTr="00E20605">
        <w:trPr>
          <w:gridAfter w:val="3"/>
          <w:wAfter w:w="45" w:type="dxa"/>
          <w:trHeight w:val="315"/>
        </w:trPr>
        <w:tc>
          <w:tcPr>
            <w:tcW w:w="1040" w:type="dxa"/>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7BF6556C" w14:textId="2402905F" w:rsidR="0051023F" w:rsidRPr="0051023F" w:rsidRDefault="0051023F" w:rsidP="0051023F">
            <w:pP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Output 3</w:t>
            </w:r>
          </w:p>
        </w:tc>
        <w:tc>
          <w:tcPr>
            <w:tcW w:w="5476" w:type="dxa"/>
            <w:tcBorders>
              <w:top w:val="single" w:sz="8" w:space="0" w:color="000000"/>
              <w:left w:val="nil"/>
              <w:bottom w:val="single" w:sz="8" w:space="0" w:color="000000"/>
              <w:right w:val="single" w:sz="8" w:space="0" w:color="000000"/>
            </w:tcBorders>
            <w:shd w:val="clear" w:color="auto" w:fill="auto"/>
            <w:vAlign w:val="center"/>
            <w:hideMark/>
          </w:tcPr>
          <w:p w14:paraId="34381755" w14:textId="55122B7C" w:rsidR="0051023F" w:rsidRPr="0051023F" w:rsidRDefault="008664E4" w:rsidP="0051023F">
            <w:pPr>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C</w:t>
            </w:r>
            <w:r w:rsidR="0051023F" w:rsidRPr="0051023F">
              <w:rPr>
                <w:rFonts w:ascii="Calibri" w:eastAsia="Times New Roman" w:hAnsi="Calibri" w:cs="Calibri"/>
                <w:color w:val="000000"/>
                <w:sz w:val="22"/>
                <w:szCs w:val="22"/>
                <w:lang w:val="en-GB" w:eastAsia="en-GB"/>
              </w:rPr>
              <w:t>ountry-based technical assistance to policymakers f</w:t>
            </w:r>
            <w:r>
              <w:rPr>
                <w:rFonts w:ascii="Calibri" w:eastAsia="Times New Roman" w:hAnsi="Calibri" w:cs="Calibri"/>
                <w:color w:val="000000"/>
                <w:sz w:val="22"/>
                <w:szCs w:val="22"/>
                <w:lang w:val="en-GB" w:eastAsia="en-GB"/>
              </w:rPr>
              <w:t>or</w:t>
            </w:r>
            <w:r w:rsidR="0051023F" w:rsidRPr="0051023F">
              <w:rPr>
                <w:rFonts w:ascii="Calibri" w:eastAsia="Times New Roman" w:hAnsi="Calibri" w:cs="Calibri"/>
                <w:color w:val="000000"/>
                <w:sz w:val="22"/>
                <w:szCs w:val="22"/>
                <w:lang w:val="en-GB" w:eastAsia="en-GB"/>
              </w:rPr>
              <w:t xml:space="preserve"> trade policy reform and coherence</w:t>
            </w:r>
          </w:p>
        </w:tc>
        <w:tc>
          <w:tcPr>
            <w:tcW w:w="1291" w:type="dxa"/>
            <w:gridSpan w:val="2"/>
            <w:tcBorders>
              <w:top w:val="nil"/>
              <w:left w:val="nil"/>
              <w:bottom w:val="single" w:sz="8" w:space="0" w:color="000000"/>
              <w:right w:val="single" w:sz="8" w:space="0" w:color="000000"/>
            </w:tcBorders>
            <w:shd w:val="clear" w:color="auto" w:fill="auto"/>
            <w:vAlign w:val="center"/>
            <w:hideMark/>
          </w:tcPr>
          <w:p w14:paraId="66E3DE89" w14:textId="5123A00D"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280,608.0</w:t>
            </w:r>
          </w:p>
        </w:tc>
        <w:tc>
          <w:tcPr>
            <w:tcW w:w="1384" w:type="dxa"/>
            <w:gridSpan w:val="2"/>
            <w:tcBorders>
              <w:top w:val="nil"/>
              <w:left w:val="nil"/>
              <w:bottom w:val="single" w:sz="8" w:space="0" w:color="000000"/>
              <w:right w:val="single" w:sz="8" w:space="0" w:color="000000"/>
            </w:tcBorders>
            <w:shd w:val="clear" w:color="auto" w:fill="auto"/>
            <w:vAlign w:val="center"/>
            <w:hideMark/>
          </w:tcPr>
          <w:p w14:paraId="4EDD129F" w14:textId="04EB9617"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68,977.5</w:t>
            </w:r>
          </w:p>
        </w:tc>
        <w:tc>
          <w:tcPr>
            <w:tcW w:w="1392" w:type="dxa"/>
            <w:tcBorders>
              <w:top w:val="nil"/>
              <w:left w:val="nil"/>
              <w:bottom w:val="single" w:sz="8" w:space="0" w:color="000000"/>
              <w:right w:val="single" w:sz="8" w:space="0" w:color="000000"/>
            </w:tcBorders>
            <w:shd w:val="clear" w:color="auto" w:fill="auto"/>
            <w:vAlign w:val="center"/>
            <w:hideMark/>
          </w:tcPr>
          <w:p w14:paraId="12204A56" w14:textId="0ADA2D12"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69,371</w:t>
            </w:r>
          </w:p>
        </w:tc>
        <w:tc>
          <w:tcPr>
            <w:tcW w:w="1392" w:type="dxa"/>
            <w:tcBorders>
              <w:top w:val="nil"/>
              <w:left w:val="nil"/>
              <w:bottom w:val="single" w:sz="8" w:space="0" w:color="000000"/>
              <w:right w:val="single" w:sz="8" w:space="0" w:color="000000"/>
            </w:tcBorders>
            <w:shd w:val="clear" w:color="auto" w:fill="auto"/>
            <w:vAlign w:val="center"/>
            <w:hideMark/>
          </w:tcPr>
          <w:p w14:paraId="7BD08048" w14:textId="6563C1B5"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113,206</w:t>
            </w:r>
          </w:p>
        </w:tc>
        <w:tc>
          <w:tcPr>
            <w:tcW w:w="1405" w:type="dxa"/>
            <w:gridSpan w:val="2"/>
            <w:tcBorders>
              <w:top w:val="nil"/>
              <w:left w:val="nil"/>
              <w:bottom w:val="single" w:sz="8" w:space="0" w:color="000000"/>
              <w:right w:val="single" w:sz="8" w:space="0" w:color="000000"/>
            </w:tcBorders>
            <w:shd w:val="clear" w:color="auto" w:fill="auto"/>
            <w:vAlign w:val="center"/>
            <w:hideMark/>
          </w:tcPr>
          <w:p w14:paraId="08D64F75" w14:textId="2B56E9E3"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440,915</w:t>
            </w:r>
          </w:p>
        </w:tc>
        <w:tc>
          <w:tcPr>
            <w:tcW w:w="1312" w:type="dxa"/>
            <w:tcBorders>
              <w:top w:val="nil"/>
              <w:left w:val="nil"/>
              <w:bottom w:val="single" w:sz="8" w:space="0" w:color="000000"/>
              <w:right w:val="single" w:sz="4" w:space="0" w:color="000000"/>
            </w:tcBorders>
            <w:shd w:val="clear" w:color="auto" w:fill="auto"/>
            <w:vAlign w:val="center"/>
            <w:hideMark/>
          </w:tcPr>
          <w:p w14:paraId="20B2F460" w14:textId="76107321"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692,469</w:t>
            </w:r>
          </w:p>
        </w:tc>
      </w:tr>
      <w:tr w:rsidR="006A6FA5" w:rsidRPr="0051023F" w14:paraId="3FBEDC22" w14:textId="77777777" w:rsidTr="00E20605">
        <w:trPr>
          <w:gridAfter w:val="3"/>
          <w:wAfter w:w="45" w:type="dxa"/>
          <w:trHeight w:val="315"/>
        </w:trPr>
        <w:tc>
          <w:tcPr>
            <w:tcW w:w="1040" w:type="dxa"/>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54D44713" w14:textId="11695AAA" w:rsidR="0051023F" w:rsidRPr="0051023F" w:rsidRDefault="0051023F" w:rsidP="0051023F">
            <w:pP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Output 4</w:t>
            </w:r>
          </w:p>
        </w:tc>
        <w:tc>
          <w:tcPr>
            <w:tcW w:w="5476" w:type="dxa"/>
            <w:tcBorders>
              <w:top w:val="single" w:sz="8" w:space="0" w:color="000000"/>
              <w:left w:val="nil"/>
              <w:bottom w:val="single" w:sz="8" w:space="0" w:color="000000"/>
              <w:right w:val="single" w:sz="8" w:space="0" w:color="000000"/>
            </w:tcBorders>
            <w:shd w:val="clear" w:color="auto" w:fill="auto"/>
            <w:vAlign w:val="center"/>
            <w:hideMark/>
          </w:tcPr>
          <w:p w14:paraId="6EB78D19" w14:textId="6117D056" w:rsidR="0051023F" w:rsidRPr="0051023F" w:rsidRDefault="004001D5" w:rsidP="0051023F">
            <w:pPr>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Country-based t</w:t>
            </w:r>
            <w:r w:rsidR="0051023F" w:rsidRPr="0051023F">
              <w:rPr>
                <w:rFonts w:ascii="Calibri" w:eastAsia="Times New Roman" w:hAnsi="Calibri" w:cs="Calibri"/>
                <w:color w:val="000000"/>
                <w:sz w:val="22"/>
                <w:szCs w:val="22"/>
                <w:lang w:val="en-GB" w:eastAsia="en-GB"/>
              </w:rPr>
              <w:t xml:space="preserve">echnical assistance in </w:t>
            </w:r>
            <w:r>
              <w:rPr>
                <w:rFonts w:ascii="Calibri" w:eastAsia="Times New Roman" w:hAnsi="Calibri" w:cs="Calibri"/>
                <w:color w:val="000000"/>
                <w:sz w:val="22"/>
                <w:szCs w:val="22"/>
                <w:lang w:val="en-GB" w:eastAsia="en-GB"/>
              </w:rPr>
              <w:t>preparation of</w:t>
            </w:r>
            <w:r w:rsidR="0051023F" w:rsidRPr="0051023F">
              <w:rPr>
                <w:rFonts w:ascii="Calibri" w:eastAsia="Times New Roman" w:hAnsi="Calibri" w:cs="Calibri"/>
                <w:color w:val="000000"/>
                <w:sz w:val="22"/>
                <w:szCs w:val="22"/>
                <w:lang w:val="en-GB" w:eastAsia="en-GB"/>
              </w:rPr>
              <w:t xml:space="preserve"> the Arab Customs Union</w:t>
            </w:r>
          </w:p>
        </w:tc>
        <w:tc>
          <w:tcPr>
            <w:tcW w:w="1291" w:type="dxa"/>
            <w:gridSpan w:val="2"/>
            <w:tcBorders>
              <w:top w:val="nil"/>
              <w:left w:val="nil"/>
              <w:bottom w:val="single" w:sz="8" w:space="0" w:color="000000"/>
              <w:right w:val="single" w:sz="8" w:space="0" w:color="000000"/>
            </w:tcBorders>
            <w:shd w:val="clear" w:color="auto" w:fill="auto"/>
            <w:vAlign w:val="center"/>
            <w:hideMark/>
          </w:tcPr>
          <w:p w14:paraId="12ACF930" w14:textId="3D8A733D"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2,917,080.0</w:t>
            </w:r>
          </w:p>
        </w:tc>
        <w:tc>
          <w:tcPr>
            <w:tcW w:w="1384" w:type="dxa"/>
            <w:gridSpan w:val="2"/>
            <w:tcBorders>
              <w:top w:val="nil"/>
              <w:left w:val="nil"/>
              <w:bottom w:val="single" w:sz="8" w:space="0" w:color="000000"/>
              <w:right w:val="single" w:sz="8" w:space="0" w:color="000000"/>
            </w:tcBorders>
            <w:shd w:val="clear" w:color="auto" w:fill="auto"/>
            <w:vAlign w:val="center"/>
            <w:hideMark/>
          </w:tcPr>
          <w:p w14:paraId="10E058B8" w14:textId="0D6A4AE1"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701,478.4</w:t>
            </w:r>
          </w:p>
        </w:tc>
        <w:tc>
          <w:tcPr>
            <w:tcW w:w="1392" w:type="dxa"/>
            <w:tcBorders>
              <w:top w:val="nil"/>
              <w:left w:val="nil"/>
              <w:bottom w:val="single" w:sz="8" w:space="0" w:color="000000"/>
              <w:right w:val="single" w:sz="8" w:space="0" w:color="000000"/>
            </w:tcBorders>
            <w:shd w:val="clear" w:color="auto" w:fill="auto"/>
            <w:vAlign w:val="center"/>
            <w:hideMark/>
          </w:tcPr>
          <w:p w14:paraId="09B839C1" w14:textId="1731B9E9"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693,773</w:t>
            </w:r>
          </w:p>
        </w:tc>
        <w:tc>
          <w:tcPr>
            <w:tcW w:w="1392" w:type="dxa"/>
            <w:tcBorders>
              <w:top w:val="nil"/>
              <w:left w:val="nil"/>
              <w:bottom w:val="single" w:sz="8" w:space="0" w:color="000000"/>
              <w:right w:val="single" w:sz="8" w:space="0" w:color="000000"/>
            </w:tcBorders>
            <w:shd w:val="clear" w:color="auto" w:fill="auto"/>
            <w:vAlign w:val="center"/>
            <w:hideMark/>
          </w:tcPr>
          <w:p w14:paraId="7B8C4959" w14:textId="03B56CCB"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553,910</w:t>
            </w:r>
          </w:p>
        </w:tc>
        <w:tc>
          <w:tcPr>
            <w:tcW w:w="1405" w:type="dxa"/>
            <w:gridSpan w:val="2"/>
            <w:tcBorders>
              <w:top w:val="nil"/>
              <w:left w:val="nil"/>
              <w:bottom w:val="single" w:sz="8" w:space="0" w:color="000000"/>
              <w:right w:val="single" w:sz="8" w:space="0" w:color="000000"/>
            </w:tcBorders>
            <w:shd w:val="clear" w:color="auto" w:fill="auto"/>
            <w:vAlign w:val="center"/>
            <w:hideMark/>
          </w:tcPr>
          <w:p w14:paraId="4FE6C9ED" w14:textId="4F7EA042"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1,243,724</w:t>
            </w:r>
          </w:p>
        </w:tc>
        <w:tc>
          <w:tcPr>
            <w:tcW w:w="1312" w:type="dxa"/>
            <w:tcBorders>
              <w:top w:val="nil"/>
              <w:left w:val="nil"/>
              <w:bottom w:val="single" w:sz="8" w:space="0" w:color="000000"/>
              <w:right w:val="single" w:sz="4" w:space="0" w:color="000000"/>
            </w:tcBorders>
            <w:shd w:val="clear" w:color="auto" w:fill="auto"/>
            <w:vAlign w:val="center"/>
            <w:hideMark/>
          </w:tcPr>
          <w:p w14:paraId="63DD66D5" w14:textId="17987D27"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3,192,885</w:t>
            </w:r>
          </w:p>
        </w:tc>
      </w:tr>
      <w:tr w:rsidR="005A5752" w:rsidRPr="0051023F" w14:paraId="10EBAC96" w14:textId="77777777" w:rsidTr="00E20605">
        <w:trPr>
          <w:gridAfter w:val="2"/>
          <w:wAfter w:w="38" w:type="dxa"/>
          <w:trHeight w:val="315"/>
        </w:trPr>
        <w:tc>
          <w:tcPr>
            <w:tcW w:w="6516" w:type="dxa"/>
            <w:gridSpan w:val="2"/>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180FEDA1" w14:textId="500610F7"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Subtotal Outcome 2</w:t>
            </w:r>
          </w:p>
        </w:tc>
        <w:tc>
          <w:tcPr>
            <w:tcW w:w="1282" w:type="dxa"/>
            <w:tcBorders>
              <w:top w:val="nil"/>
              <w:left w:val="nil"/>
              <w:bottom w:val="single" w:sz="8" w:space="0" w:color="000000"/>
              <w:right w:val="single" w:sz="8" w:space="0" w:color="000000"/>
            </w:tcBorders>
            <w:shd w:val="clear" w:color="auto" w:fill="auto"/>
            <w:vAlign w:val="center"/>
            <w:hideMark/>
          </w:tcPr>
          <w:p w14:paraId="361BF4D5" w14:textId="2432CE19"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3,197,688.0</w:t>
            </w:r>
          </w:p>
        </w:tc>
        <w:tc>
          <w:tcPr>
            <w:tcW w:w="1393" w:type="dxa"/>
            <w:gridSpan w:val="3"/>
            <w:tcBorders>
              <w:top w:val="nil"/>
              <w:left w:val="nil"/>
              <w:bottom w:val="single" w:sz="8" w:space="0" w:color="000000"/>
              <w:right w:val="single" w:sz="8" w:space="0" w:color="000000"/>
            </w:tcBorders>
            <w:shd w:val="clear" w:color="auto" w:fill="auto"/>
            <w:vAlign w:val="center"/>
            <w:hideMark/>
          </w:tcPr>
          <w:p w14:paraId="698C63D2" w14:textId="033D6DE4"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770,455.9</w:t>
            </w:r>
          </w:p>
        </w:tc>
        <w:tc>
          <w:tcPr>
            <w:tcW w:w="1392" w:type="dxa"/>
            <w:tcBorders>
              <w:top w:val="nil"/>
              <w:left w:val="nil"/>
              <w:bottom w:val="single" w:sz="8" w:space="0" w:color="000000"/>
              <w:right w:val="single" w:sz="8" w:space="0" w:color="000000"/>
            </w:tcBorders>
            <w:shd w:val="clear" w:color="auto" w:fill="auto"/>
            <w:vAlign w:val="center"/>
            <w:hideMark/>
          </w:tcPr>
          <w:p w14:paraId="49DE6454" w14:textId="258AB6BF"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763,144</w:t>
            </w:r>
          </w:p>
        </w:tc>
        <w:tc>
          <w:tcPr>
            <w:tcW w:w="1392" w:type="dxa"/>
            <w:tcBorders>
              <w:top w:val="nil"/>
              <w:left w:val="nil"/>
              <w:bottom w:val="single" w:sz="8" w:space="0" w:color="000000"/>
              <w:right w:val="single" w:sz="8" w:space="0" w:color="000000"/>
            </w:tcBorders>
            <w:shd w:val="clear" w:color="auto" w:fill="auto"/>
            <w:vAlign w:val="center"/>
            <w:hideMark/>
          </w:tcPr>
          <w:p w14:paraId="73BBB9B6" w14:textId="4D2FA012"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667,116</w:t>
            </w:r>
          </w:p>
        </w:tc>
        <w:tc>
          <w:tcPr>
            <w:tcW w:w="1392" w:type="dxa"/>
            <w:tcBorders>
              <w:top w:val="nil"/>
              <w:left w:val="nil"/>
              <w:bottom w:val="single" w:sz="8" w:space="0" w:color="000000"/>
              <w:right w:val="single" w:sz="8" w:space="0" w:color="000000"/>
            </w:tcBorders>
            <w:shd w:val="clear" w:color="auto" w:fill="auto"/>
            <w:vAlign w:val="center"/>
            <w:hideMark/>
          </w:tcPr>
          <w:p w14:paraId="03D07B19" w14:textId="619ADC15"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1,684,639</w:t>
            </w:r>
          </w:p>
        </w:tc>
        <w:tc>
          <w:tcPr>
            <w:tcW w:w="1332" w:type="dxa"/>
            <w:gridSpan w:val="3"/>
            <w:tcBorders>
              <w:top w:val="nil"/>
              <w:left w:val="nil"/>
              <w:bottom w:val="single" w:sz="8" w:space="0" w:color="000000"/>
              <w:right w:val="single" w:sz="4" w:space="0" w:color="000000"/>
            </w:tcBorders>
            <w:shd w:val="clear" w:color="auto" w:fill="auto"/>
            <w:vAlign w:val="center"/>
            <w:hideMark/>
          </w:tcPr>
          <w:p w14:paraId="700F2AD9" w14:textId="6C6ED962"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3,885,354</w:t>
            </w:r>
          </w:p>
        </w:tc>
      </w:tr>
      <w:tr w:rsidR="005C08F7" w:rsidRPr="0051023F" w14:paraId="74C66DF0" w14:textId="77777777" w:rsidTr="00E20605">
        <w:trPr>
          <w:gridAfter w:val="1"/>
          <w:wAfter w:w="13" w:type="dxa"/>
          <w:trHeight w:val="315"/>
        </w:trPr>
        <w:tc>
          <w:tcPr>
            <w:tcW w:w="14724" w:type="dxa"/>
            <w:gridSpan w:val="13"/>
            <w:tcBorders>
              <w:top w:val="single" w:sz="8" w:space="0" w:color="000000"/>
              <w:left w:val="single" w:sz="4" w:space="0" w:color="000000"/>
              <w:bottom w:val="single" w:sz="8" w:space="0" w:color="000000"/>
              <w:right w:val="single" w:sz="4" w:space="0" w:color="000000"/>
            </w:tcBorders>
            <w:shd w:val="clear" w:color="auto" w:fill="auto"/>
            <w:vAlign w:val="center"/>
            <w:hideMark/>
          </w:tcPr>
          <w:p w14:paraId="37B34E0F" w14:textId="1CCE5777" w:rsidR="005C08F7" w:rsidRPr="0051023F" w:rsidRDefault="005C08F7" w:rsidP="005C08F7">
            <w:pP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Outcome 3</w:t>
            </w:r>
            <w:r>
              <w:rPr>
                <w:rFonts w:ascii="Calibri" w:eastAsia="Times New Roman" w:hAnsi="Calibri" w:cs="Calibri"/>
                <w:b/>
                <w:bCs/>
                <w:color w:val="000000"/>
                <w:sz w:val="22"/>
                <w:szCs w:val="22"/>
                <w:lang w:val="en-GB" w:eastAsia="en-GB"/>
              </w:rPr>
              <w:t xml:space="preserve">: </w:t>
            </w:r>
            <w:r w:rsidRPr="0051023F">
              <w:rPr>
                <w:rFonts w:ascii="Calibri" w:eastAsia="Times New Roman" w:hAnsi="Calibri" w:cs="Calibri"/>
                <w:b/>
                <w:bCs/>
                <w:color w:val="000000"/>
                <w:sz w:val="22"/>
                <w:szCs w:val="22"/>
                <w:lang w:val="en-GB" w:eastAsia="en-GB"/>
              </w:rPr>
              <w:t>Engagement of key development actors ensured through inclusive and transparent processes for regional economic integration</w:t>
            </w:r>
          </w:p>
        </w:tc>
      </w:tr>
      <w:tr w:rsidR="006A6FA5" w:rsidRPr="0051023F" w14:paraId="3467DB47" w14:textId="77777777" w:rsidTr="00E20605">
        <w:trPr>
          <w:gridAfter w:val="3"/>
          <w:wAfter w:w="45" w:type="dxa"/>
          <w:trHeight w:val="315"/>
        </w:trPr>
        <w:tc>
          <w:tcPr>
            <w:tcW w:w="1040" w:type="dxa"/>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7B747DE1" w14:textId="77777777" w:rsidR="0051023F" w:rsidRPr="0051023F" w:rsidRDefault="0051023F" w:rsidP="0051023F">
            <w:pP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Output 5 </w:t>
            </w:r>
          </w:p>
        </w:tc>
        <w:tc>
          <w:tcPr>
            <w:tcW w:w="5476" w:type="dxa"/>
            <w:tcBorders>
              <w:top w:val="single" w:sz="8" w:space="0" w:color="000000"/>
              <w:left w:val="nil"/>
              <w:bottom w:val="single" w:sz="8" w:space="0" w:color="000000"/>
              <w:right w:val="single" w:sz="8" w:space="0" w:color="000000"/>
            </w:tcBorders>
            <w:shd w:val="clear" w:color="auto" w:fill="auto"/>
            <w:vAlign w:val="center"/>
            <w:hideMark/>
          </w:tcPr>
          <w:p w14:paraId="3F0E1DF2" w14:textId="287C178B" w:rsidR="0051023F" w:rsidRPr="0051023F" w:rsidRDefault="0051023F" w:rsidP="0051023F">
            <w:pP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 xml:space="preserve">Improvement of related regulatory frameworks for </w:t>
            </w:r>
            <w:r w:rsidR="00AF3571">
              <w:rPr>
                <w:rFonts w:ascii="Calibri" w:eastAsia="Times New Roman" w:hAnsi="Calibri" w:cs="Calibri"/>
                <w:color w:val="000000"/>
                <w:sz w:val="22"/>
                <w:szCs w:val="22"/>
                <w:lang w:val="en-GB" w:eastAsia="en-GB"/>
              </w:rPr>
              <w:t xml:space="preserve">the </w:t>
            </w:r>
            <w:r w:rsidRPr="0051023F">
              <w:rPr>
                <w:rFonts w:ascii="Calibri" w:eastAsia="Times New Roman" w:hAnsi="Calibri" w:cs="Calibri"/>
                <w:color w:val="000000"/>
                <w:sz w:val="22"/>
                <w:szCs w:val="22"/>
                <w:lang w:val="en-GB" w:eastAsia="en-GB"/>
              </w:rPr>
              <w:t>integrity</w:t>
            </w:r>
            <w:r w:rsidR="00AF3571">
              <w:rPr>
                <w:rFonts w:ascii="Calibri" w:eastAsia="Times New Roman" w:hAnsi="Calibri" w:cs="Calibri"/>
                <w:color w:val="000000"/>
                <w:sz w:val="22"/>
                <w:szCs w:val="22"/>
                <w:lang w:val="en-GB" w:eastAsia="en-GB"/>
              </w:rPr>
              <w:t xml:space="preserve"> of </w:t>
            </w:r>
            <w:r w:rsidRPr="0051023F">
              <w:rPr>
                <w:rFonts w:ascii="Calibri" w:eastAsia="Times New Roman" w:hAnsi="Calibri" w:cs="Calibri"/>
                <w:color w:val="000000"/>
                <w:sz w:val="22"/>
                <w:szCs w:val="22"/>
                <w:lang w:val="en-GB" w:eastAsia="en-GB"/>
              </w:rPr>
              <w:t>trade measures</w:t>
            </w:r>
          </w:p>
        </w:tc>
        <w:tc>
          <w:tcPr>
            <w:tcW w:w="1291" w:type="dxa"/>
            <w:gridSpan w:val="2"/>
            <w:tcBorders>
              <w:top w:val="nil"/>
              <w:left w:val="nil"/>
              <w:bottom w:val="single" w:sz="8" w:space="0" w:color="000000"/>
              <w:right w:val="single" w:sz="8" w:space="0" w:color="000000"/>
            </w:tcBorders>
            <w:shd w:val="clear" w:color="auto" w:fill="auto"/>
            <w:vAlign w:val="center"/>
            <w:hideMark/>
          </w:tcPr>
          <w:p w14:paraId="1B9F9479" w14:textId="715C114E"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610,500.0</w:t>
            </w:r>
          </w:p>
        </w:tc>
        <w:tc>
          <w:tcPr>
            <w:tcW w:w="1384" w:type="dxa"/>
            <w:gridSpan w:val="2"/>
            <w:tcBorders>
              <w:top w:val="nil"/>
              <w:left w:val="nil"/>
              <w:bottom w:val="single" w:sz="8" w:space="0" w:color="000000"/>
              <w:right w:val="single" w:sz="8" w:space="0" w:color="000000"/>
            </w:tcBorders>
            <w:shd w:val="clear" w:color="auto" w:fill="auto"/>
            <w:vAlign w:val="center"/>
            <w:hideMark/>
          </w:tcPr>
          <w:p w14:paraId="540FAB57" w14:textId="42DBD5CA"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37,860.0</w:t>
            </w:r>
          </w:p>
        </w:tc>
        <w:tc>
          <w:tcPr>
            <w:tcW w:w="1392" w:type="dxa"/>
            <w:tcBorders>
              <w:top w:val="nil"/>
              <w:left w:val="nil"/>
              <w:bottom w:val="single" w:sz="8" w:space="0" w:color="000000"/>
              <w:right w:val="single" w:sz="8" w:space="0" w:color="000000"/>
            </w:tcBorders>
            <w:shd w:val="clear" w:color="auto" w:fill="auto"/>
            <w:vAlign w:val="center"/>
            <w:hideMark/>
          </w:tcPr>
          <w:p w14:paraId="782D0A16" w14:textId="1565E5B1"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42,552</w:t>
            </w:r>
          </w:p>
        </w:tc>
        <w:tc>
          <w:tcPr>
            <w:tcW w:w="1392" w:type="dxa"/>
            <w:tcBorders>
              <w:top w:val="nil"/>
              <w:left w:val="nil"/>
              <w:bottom w:val="single" w:sz="8" w:space="0" w:color="000000"/>
              <w:right w:val="single" w:sz="8" w:space="0" w:color="000000"/>
            </w:tcBorders>
            <w:shd w:val="clear" w:color="auto" w:fill="auto"/>
            <w:vAlign w:val="center"/>
            <w:hideMark/>
          </w:tcPr>
          <w:p w14:paraId="72E8D3E4" w14:textId="3119B61E"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16,060</w:t>
            </w:r>
          </w:p>
        </w:tc>
        <w:tc>
          <w:tcPr>
            <w:tcW w:w="1405" w:type="dxa"/>
            <w:gridSpan w:val="2"/>
            <w:tcBorders>
              <w:top w:val="nil"/>
              <w:left w:val="nil"/>
              <w:bottom w:val="single" w:sz="8" w:space="0" w:color="000000"/>
              <w:right w:val="single" w:sz="8" w:space="0" w:color="000000"/>
            </w:tcBorders>
            <w:shd w:val="clear" w:color="auto" w:fill="auto"/>
            <w:vAlign w:val="center"/>
            <w:hideMark/>
          </w:tcPr>
          <w:p w14:paraId="6915D33A" w14:textId="51B8C003"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28,141</w:t>
            </w:r>
          </w:p>
        </w:tc>
        <w:tc>
          <w:tcPr>
            <w:tcW w:w="1312" w:type="dxa"/>
            <w:tcBorders>
              <w:top w:val="nil"/>
              <w:left w:val="nil"/>
              <w:bottom w:val="single" w:sz="8" w:space="0" w:color="000000"/>
              <w:right w:val="single" w:sz="4" w:space="0" w:color="000000"/>
            </w:tcBorders>
            <w:shd w:val="clear" w:color="auto" w:fill="auto"/>
            <w:vAlign w:val="center"/>
            <w:hideMark/>
          </w:tcPr>
          <w:p w14:paraId="05554C96" w14:textId="3863B4E7"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124,613</w:t>
            </w:r>
          </w:p>
        </w:tc>
      </w:tr>
      <w:tr w:rsidR="006A6FA5" w:rsidRPr="0051023F" w14:paraId="1438E2D7" w14:textId="77777777" w:rsidTr="00E20605">
        <w:trPr>
          <w:gridAfter w:val="3"/>
          <w:wAfter w:w="45" w:type="dxa"/>
          <w:trHeight w:val="315"/>
        </w:trPr>
        <w:tc>
          <w:tcPr>
            <w:tcW w:w="1040" w:type="dxa"/>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0F5402E5" w14:textId="77777777" w:rsidR="0051023F" w:rsidRPr="0051023F" w:rsidRDefault="0051023F" w:rsidP="0051023F">
            <w:pP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Output 6 </w:t>
            </w:r>
          </w:p>
        </w:tc>
        <w:tc>
          <w:tcPr>
            <w:tcW w:w="5476" w:type="dxa"/>
            <w:tcBorders>
              <w:top w:val="single" w:sz="8" w:space="0" w:color="000000"/>
              <w:left w:val="nil"/>
              <w:bottom w:val="single" w:sz="8" w:space="0" w:color="000000"/>
              <w:right w:val="single" w:sz="8" w:space="0" w:color="000000"/>
            </w:tcBorders>
            <w:shd w:val="clear" w:color="auto" w:fill="auto"/>
            <w:vAlign w:val="center"/>
            <w:hideMark/>
          </w:tcPr>
          <w:p w14:paraId="24FFC556" w14:textId="06CDDB9A" w:rsidR="0051023F" w:rsidRPr="0051023F" w:rsidRDefault="0051023F" w:rsidP="0051023F">
            <w:pP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Gender responsive mechanisms to ensure integration of gender sensitivities in trade poli</w:t>
            </w:r>
            <w:r w:rsidR="00B51C45">
              <w:rPr>
                <w:rFonts w:ascii="Calibri" w:eastAsia="Times New Roman" w:hAnsi="Calibri" w:cs="Calibri"/>
                <w:color w:val="000000"/>
                <w:sz w:val="22"/>
                <w:szCs w:val="22"/>
                <w:lang w:val="en-GB" w:eastAsia="en-GB"/>
              </w:rPr>
              <w:t>cies</w:t>
            </w:r>
            <w:r w:rsidRPr="0051023F">
              <w:rPr>
                <w:rFonts w:ascii="Calibri" w:eastAsia="Times New Roman" w:hAnsi="Calibri" w:cs="Calibri"/>
                <w:color w:val="000000"/>
                <w:sz w:val="22"/>
                <w:szCs w:val="22"/>
                <w:lang w:val="en-GB" w:eastAsia="en-GB"/>
              </w:rPr>
              <w:t xml:space="preserve"> and negotiations </w:t>
            </w:r>
          </w:p>
        </w:tc>
        <w:tc>
          <w:tcPr>
            <w:tcW w:w="1291" w:type="dxa"/>
            <w:gridSpan w:val="2"/>
            <w:tcBorders>
              <w:top w:val="nil"/>
              <w:left w:val="nil"/>
              <w:bottom w:val="single" w:sz="8" w:space="0" w:color="000000"/>
              <w:right w:val="single" w:sz="8" w:space="0" w:color="000000"/>
            </w:tcBorders>
            <w:shd w:val="clear" w:color="auto" w:fill="auto"/>
            <w:vAlign w:val="center"/>
            <w:hideMark/>
          </w:tcPr>
          <w:p w14:paraId="03424C49" w14:textId="313C4152"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279,698.0</w:t>
            </w:r>
          </w:p>
        </w:tc>
        <w:tc>
          <w:tcPr>
            <w:tcW w:w="1384" w:type="dxa"/>
            <w:gridSpan w:val="2"/>
            <w:tcBorders>
              <w:top w:val="nil"/>
              <w:left w:val="nil"/>
              <w:bottom w:val="single" w:sz="8" w:space="0" w:color="000000"/>
              <w:right w:val="single" w:sz="8" w:space="0" w:color="000000"/>
            </w:tcBorders>
            <w:shd w:val="clear" w:color="auto" w:fill="auto"/>
            <w:vAlign w:val="center"/>
            <w:hideMark/>
          </w:tcPr>
          <w:p w14:paraId="21755068" w14:textId="4DF63E00"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12,400.0</w:t>
            </w:r>
          </w:p>
        </w:tc>
        <w:tc>
          <w:tcPr>
            <w:tcW w:w="1392" w:type="dxa"/>
            <w:tcBorders>
              <w:top w:val="nil"/>
              <w:left w:val="nil"/>
              <w:bottom w:val="single" w:sz="8" w:space="0" w:color="000000"/>
              <w:right w:val="single" w:sz="8" w:space="0" w:color="000000"/>
            </w:tcBorders>
            <w:shd w:val="clear" w:color="auto" w:fill="auto"/>
            <w:vAlign w:val="center"/>
            <w:hideMark/>
          </w:tcPr>
          <w:p w14:paraId="2C9A6EFD" w14:textId="1D8071E1"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79,789</w:t>
            </w:r>
          </w:p>
        </w:tc>
        <w:tc>
          <w:tcPr>
            <w:tcW w:w="1392" w:type="dxa"/>
            <w:tcBorders>
              <w:top w:val="nil"/>
              <w:left w:val="nil"/>
              <w:bottom w:val="single" w:sz="8" w:space="0" w:color="000000"/>
              <w:right w:val="single" w:sz="8" w:space="0" w:color="000000"/>
            </w:tcBorders>
            <w:shd w:val="clear" w:color="auto" w:fill="auto"/>
            <w:vAlign w:val="center"/>
            <w:hideMark/>
          </w:tcPr>
          <w:p w14:paraId="3BA0BC26" w14:textId="2ED3FCB8"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45,161</w:t>
            </w:r>
          </w:p>
        </w:tc>
        <w:tc>
          <w:tcPr>
            <w:tcW w:w="1405" w:type="dxa"/>
            <w:gridSpan w:val="2"/>
            <w:tcBorders>
              <w:top w:val="nil"/>
              <w:left w:val="nil"/>
              <w:bottom w:val="single" w:sz="8" w:space="0" w:color="000000"/>
              <w:right w:val="single" w:sz="8" w:space="0" w:color="000000"/>
            </w:tcBorders>
            <w:shd w:val="clear" w:color="auto" w:fill="auto"/>
            <w:vAlign w:val="center"/>
            <w:hideMark/>
          </w:tcPr>
          <w:p w14:paraId="205EC849" w14:textId="3E788FFE"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47,896</w:t>
            </w:r>
          </w:p>
        </w:tc>
        <w:tc>
          <w:tcPr>
            <w:tcW w:w="1312" w:type="dxa"/>
            <w:tcBorders>
              <w:top w:val="nil"/>
              <w:left w:val="nil"/>
              <w:bottom w:val="single" w:sz="8" w:space="0" w:color="000000"/>
              <w:right w:val="single" w:sz="4" w:space="0" w:color="000000"/>
            </w:tcBorders>
            <w:shd w:val="clear" w:color="auto" w:fill="auto"/>
            <w:vAlign w:val="center"/>
            <w:hideMark/>
          </w:tcPr>
          <w:p w14:paraId="6F36611F" w14:textId="4B6D68DC"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185,246</w:t>
            </w:r>
          </w:p>
        </w:tc>
      </w:tr>
      <w:tr w:rsidR="005A5752" w:rsidRPr="0051023F" w14:paraId="43151641" w14:textId="77777777" w:rsidTr="00E20605">
        <w:trPr>
          <w:gridAfter w:val="2"/>
          <w:wAfter w:w="38" w:type="dxa"/>
          <w:trHeight w:val="315"/>
        </w:trPr>
        <w:tc>
          <w:tcPr>
            <w:tcW w:w="6516" w:type="dxa"/>
            <w:gridSpan w:val="2"/>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65632041" w14:textId="3F5CA8E6"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Subtotal Outcome 3</w:t>
            </w:r>
          </w:p>
        </w:tc>
        <w:tc>
          <w:tcPr>
            <w:tcW w:w="1282" w:type="dxa"/>
            <w:tcBorders>
              <w:top w:val="nil"/>
              <w:left w:val="nil"/>
              <w:bottom w:val="single" w:sz="8" w:space="0" w:color="000000"/>
              <w:right w:val="single" w:sz="8" w:space="0" w:color="000000"/>
            </w:tcBorders>
            <w:shd w:val="clear" w:color="auto" w:fill="auto"/>
            <w:vAlign w:val="center"/>
            <w:hideMark/>
          </w:tcPr>
          <w:p w14:paraId="26D948C3" w14:textId="7E1ACBE4"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890,198.0</w:t>
            </w:r>
          </w:p>
        </w:tc>
        <w:tc>
          <w:tcPr>
            <w:tcW w:w="1393" w:type="dxa"/>
            <w:gridSpan w:val="3"/>
            <w:tcBorders>
              <w:top w:val="nil"/>
              <w:left w:val="nil"/>
              <w:bottom w:val="single" w:sz="8" w:space="0" w:color="000000"/>
              <w:right w:val="single" w:sz="8" w:space="0" w:color="000000"/>
            </w:tcBorders>
            <w:shd w:val="clear" w:color="auto" w:fill="auto"/>
            <w:vAlign w:val="center"/>
            <w:hideMark/>
          </w:tcPr>
          <w:p w14:paraId="78C930EF" w14:textId="39953C96"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50,260.0</w:t>
            </w:r>
          </w:p>
        </w:tc>
        <w:tc>
          <w:tcPr>
            <w:tcW w:w="1392" w:type="dxa"/>
            <w:tcBorders>
              <w:top w:val="nil"/>
              <w:left w:val="nil"/>
              <w:bottom w:val="single" w:sz="8" w:space="0" w:color="000000"/>
              <w:right w:val="single" w:sz="8" w:space="0" w:color="000000"/>
            </w:tcBorders>
            <w:shd w:val="clear" w:color="auto" w:fill="auto"/>
            <w:vAlign w:val="center"/>
            <w:hideMark/>
          </w:tcPr>
          <w:p w14:paraId="596747B2" w14:textId="5A07EF45"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122,342</w:t>
            </w:r>
          </w:p>
        </w:tc>
        <w:tc>
          <w:tcPr>
            <w:tcW w:w="1392" w:type="dxa"/>
            <w:tcBorders>
              <w:top w:val="nil"/>
              <w:left w:val="nil"/>
              <w:bottom w:val="single" w:sz="8" w:space="0" w:color="000000"/>
              <w:right w:val="single" w:sz="8" w:space="0" w:color="000000"/>
            </w:tcBorders>
            <w:shd w:val="clear" w:color="auto" w:fill="auto"/>
            <w:vAlign w:val="center"/>
            <w:hideMark/>
          </w:tcPr>
          <w:p w14:paraId="6A364FB4" w14:textId="415E01F6"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61,221</w:t>
            </w:r>
          </w:p>
        </w:tc>
        <w:tc>
          <w:tcPr>
            <w:tcW w:w="1392" w:type="dxa"/>
            <w:tcBorders>
              <w:top w:val="nil"/>
              <w:left w:val="nil"/>
              <w:bottom w:val="single" w:sz="8" w:space="0" w:color="000000"/>
              <w:right w:val="single" w:sz="8" w:space="0" w:color="000000"/>
            </w:tcBorders>
            <w:shd w:val="clear" w:color="auto" w:fill="auto"/>
            <w:vAlign w:val="center"/>
            <w:hideMark/>
          </w:tcPr>
          <w:p w14:paraId="409C96A4" w14:textId="550B103C"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76,036</w:t>
            </w:r>
          </w:p>
        </w:tc>
        <w:tc>
          <w:tcPr>
            <w:tcW w:w="1332" w:type="dxa"/>
            <w:gridSpan w:val="3"/>
            <w:tcBorders>
              <w:top w:val="nil"/>
              <w:left w:val="nil"/>
              <w:bottom w:val="single" w:sz="8" w:space="0" w:color="000000"/>
              <w:right w:val="single" w:sz="4" w:space="0" w:color="000000"/>
            </w:tcBorders>
            <w:shd w:val="clear" w:color="auto" w:fill="auto"/>
            <w:vAlign w:val="center"/>
            <w:hideMark/>
          </w:tcPr>
          <w:p w14:paraId="524BDAC8" w14:textId="14A57A0A"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309,859</w:t>
            </w:r>
          </w:p>
        </w:tc>
      </w:tr>
      <w:tr w:rsidR="005A5752" w:rsidRPr="0051023F" w14:paraId="5FD655C0" w14:textId="77777777" w:rsidTr="00E20605">
        <w:trPr>
          <w:gridAfter w:val="2"/>
          <w:wAfter w:w="38" w:type="dxa"/>
          <w:trHeight w:val="315"/>
        </w:trPr>
        <w:tc>
          <w:tcPr>
            <w:tcW w:w="6516" w:type="dxa"/>
            <w:gridSpan w:val="2"/>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1B038F29" w14:textId="77777777"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MANAGEMENT OF RISKS OF THE PROJECT IMPLEMENTATION</w:t>
            </w:r>
          </w:p>
        </w:tc>
        <w:tc>
          <w:tcPr>
            <w:tcW w:w="1282" w:type="dxa"/>
            <w:tcBorders>
              <w:top w:val="nil"/>
              <w:left w:val="nil"/>
              <w:bottom w:val="single" w:sz="8" w:space="0" w:color="000000"/>
              <w:right w:val="single" w:sz="8" w:space="0" w:color="000000"/>
            </w:tcBorders>
            <w:shd w:val="clear" w:color="auto" w:fill="auto"/>
            <w:vAlign w:val="center"/>
            <w:hideMark/>
          </w:tcPr>
          <w:p w14:paraId="7297DFAC" w14:textId="732EC4CE"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33,710.0</w:t>
            </w:r>
          </w:p>
        </w:tc>
        <w:tc>
          <w:tcPr>
            <w:tcW w:w="1393" w:type="dxa"/>
            <w:gridSpan w:val="3"/>
            <w:tcBorders>
              <w:top w:val="nil"/>
              <w:left w:val="nil"/>
              <w:bottom w:val="single" w:sz="8" w:space="0" w:color="000000"/>
              <w:right w:val="single" w:sz="8" w:space="0" w:color="000000"/>
            </w:tcBorders>
            <w:shd w:val="clear" w:color="auto" w:fill="auto"/>
            <w:vAlign w:val="center"/>
            <w:hideMark/>
          </w:tcPr>
          <w:p w14:paraId="476CCA23" w14:textId="2D9B8E5E"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w:t>
            </w:r>
          </w:p>
        </w:tc>
        <w:tc>
          <w:tcPr>
            <w:tcW w:w="1392" w:type="dxa"/>
            <w:tcBorders>
              <w:top w:val="nil"/>
              <w:left w:val="nil"/>
              <w:bottom w:val="single" w:sz="8" w:space="0" w:color="000000"/>
              <w:right w:val="single" w:sz="8" w:space="0" w:color="000000"/>
            </w:tcBorders>
            <w:shd w:val="clear" w:color="auto" w:fill="auto"/>
            <w:vAlign w:val="center"/>
            <w:hideMark/>
          </w:tcPr>
          <w:p w14:paraId="339375E9" w14:textId="43B1702F" w:rsidR="0051023F" w:rsidRPr="0051023F" w:rsidRDefault="0051023F" w:rsidP="00D00533">
            <w:pPr>
              <w:jc w:val="center"/>
              <w:rPr>
                <w:rFonts w:ascii="Calibri" w:eastAsia="Times New Roman" w:hAnsi="Calibri" w:cs="Calibri"/>
                <w:color w:val="000000"/>
                <w:sz w:val="22"/>
                <w:szCs w:val="22"/>
                <w:lang w:val="en-GB" w:eastAsia="en-GB"/>
              </w:rPr>
            </w:pPr>
          </w:p>
        </w:tc>
        <w:tc>
          <w:tcPr>
            <w:tcW w:w="1392" w:type="dxa"/>
            <w:tcBorders>
              <w:top w:val="nil"/>
              <w:left w:val="nil"/>
              <w:bottom w:val="single" w:sz="8" w:space="0" w:color="000000"/>
              <w:right w:val="single" w:sz="8" w:space="0" w:color="000000"/>
            </w:tcBorders>
            <w:shd w:val="clear" w:color="auto" w:fill="auto"/>
            <w:vAlign w:val="center"/>
            <w:hideMark/>
          </w:tcPr>
          <w:p w14:paraId="3B1F3347" w14:textId="09299238" w:rsidR="0051023F" w:rsidRPr="0051023F" w:rsidRDefault="0051023F" w:rsidP="00D00533">
            <w:pPr>
              <w:jc w:val="center"/>
              <w:rPr>
                <w:rFonts w:ascii="Calibri" w:eastAsia="Times New Roman" w:hAnsi="Calibri" w:cs="Calibri"/>
                <w:color w:val="000000"/>
                <w:sz w:val="22"/>
                <w:szCs w:val="22"/>
                <w:lang w:val="en-GB" w:eastAsia="en-GB"/>
              </w:rPr>
            </w:pPr>
          </w:p>
        </w:tc>
        <w:tc>
          <w:tcPr>
            <w:tcW w:w="1392" w:type="dxa"/>
            <w:tcBorders>
              <w:top w:val="nil"/>
              <w:left w:val="nil"/>
              <w:bottom w:val="single" w:sz="8" w:space="0" w:color="000000"/>
              <w:right w:val="single" w:sz="8" w:space="0" w:color="000000"/>
            </w:tcBorders>
            <w:shd w:val="clear" w:color="auto" w:fill="auto"/>
            <w:vAlign w:val="center"/>
            <w:hideMark/>
          </w:tcPr>
          <w:p w14:paraId="36FEF725" w14:textId="1ADB2B57" w:rsidR="0051023F" w:rsidRPr="0051023F" w:rsidRDefault="0051023F" w:rsidP="00D00533">
            <w:pPr>
              <w:jc w:val="center"/>
              <w:rPr>
                <w:rFonts w:ascii="Calibri" w:eastAsia="Times New Roman" w:hAnsi="Calibri" w:cs="Calibri"/>
                <w:color w:val="000000"/>
                <w:sz w:val="22"/>
                <w:szCs w:val="22"/>
                <w:lang w:val="en-GB" w:eastAsia="en-GB"/>
              </w:rPr>
            </w:pPr>
          </w:p>
        </w:tc>
        <w:tc>
          <w:tcPr>
            <w:tcW w:w="1332" w:type="dxa"/>
            <w:gridSpan w:val="3"/>
            <w:tcBorders>
              <w:top w:val="nil"/>
              <w:left w:val="nil"/>
              <w:bottom w:val="single" w:sz="8" w:space="0" w:color="000000"/>
              <w:right w:val="single" w:sz="4" w:space="0" w:color="000000"/>
            </w:tcBorders>
            <w:shd w:val="clear" w:color="auto" w:fill="auto"/>
            <w:vAlign w:val="center"/>
            <w:hideMark/>
          </w:tcPr>
          <w:p w14:paraId="6E5C23CD" w14:textId="3E76ACDF"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w:t>
            </w:r>
          </w:p>
        </w:tc>
      </w:tr>
      <w:tr w:rsidR="005A5752" w:rsidRPr="0051023F" w14:paraId="45C70F19" w14:textId="77777777" w:rsidTr="00E20605">
        <w:trPr>
          <w:gridAfter w:val="2"/>
          <w:wAfter w:w="38" w:type="dxa"/>
          <w:trHeight w:val="315"/>
        </w:trPr>
        <w:tc>
          <w:tcPr>
            <w:tcW w:w="6516" w:type="dxa"/>
            <w:gridSpan w:val="2"/>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3CA47E57" w14:textId="69D2BE73"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Monitoring and Evaluation</w:t>
            </w:r>
          </w:p>
        </w:tc>
        <w:tc>
          <w:tcPr>
            <w:tcW w:w="1282" w:type="dxa"/>
            <w:tcBorders>
              <w:top w:val="nil"/>
              <w:left w:val="nil"/>
              <w:bottom w:val="single" w:sz="8" w:space="0" w:color="000000"/>
              <w:right w:val="single" w:sz="8" w:space="0" w:color="000000"/>
            </w:tcBorders>
            <w:shd w:val="clear" w:color="auto" w:fill="auto"/>
            <w:vAlign w:val="center"/>
            <w:hideMark/>
          </w:tcPr>
          <w:p w14:paraId="0D8FB669" w14:textId="6087AD89"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77,000.0</w:t>
            </w:r>
          </w:p>
        </w:tc>
        <w:tc>
          <w:tcPr>
            <w:tcW w:w="1393" w:type="dxa"/>
            <w:gridSpan w:val="3"/>
            <w:tcBorders>
              <w:top w:val="nil"/>
              <w:left w:val="nil"/>
              <w:bottom w:val="single" w:sz="8" w:space="0" w:color="000000"/>
              <w:right w:val="single" w:sz="8" w:space="0" w:color="000000"/>
            </w:tcBorders>
            <w:shd w:val="clear" w:color="auto" w:fill="auto"/>
            <w:vAlign w:val="center"/>
            <w:hideMark/>
          </w:tcPr>
          <w:p w14:paraId="5D5595B6" w14:textId="75208ADD"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w:t>
            </w:r>
          </w:p>
        </w:tc>
        <w:tc>
          <w:tcPr>
            <w:tcW w:w="1392" w:type="dxa"/>
            <w:tcBorders>
              <w:top w:val="nil"/>
              <w:left w:val="nil"/>
              <w:bottom w:val="single" w:sz="8" w:space="0" w:color="000000"/>
              <w:right w:val="single" w:sz="8" w:space="0" w:color="000000"/>
            </w:tcBorders>
            <w:shd w:val="clear" w:color="auto" w:fill="auto"/>
            <w:vAlign w:val="center"/>
            <w:hideMark/>
          </w:tcPr>
          <w:p w14:paraId="375D5078" w14:textId="7C7C39D1" w:rsidR="0051023F" w:rsidRPr="0051023F" w:rsidRDefault="0051023F" w:rsidP="00D00533">
            <w:pPr>
              <w:jc w:val="center"/>
              <w:rPr>
                <w:rFonts w:ascii="Calibri" w:eastAsia="Times New Roman" w:hAnsi="Calibri" w:cs="Calibri"/>
                <w:color w:val="000000"/>
                <w:sz w:val="22"/>
                <w:szCs w:val="22"/>
                <w:lang w:val="en-GB" w:eastAsia="en-GB"/>
              </w:rPr>
            </w:pPr>
          </w:p>
        </w:tc>
        <w:tc>
          <w:tcPr>
            <w:tcW w:w="1392" w:type="dxa"/>
            <w:tcBorders>
              <w:top w:val="nil"/>
              <w:left w:val="nil"/>
              <w:bottom w:val="single" w:sz="8" w:space="0" w:color="000000"/>
              <w:right w:val="single" w:sz="8" w:space="0" w:color="000000"/>
            </w:tcBorders>
            <w:shd w:val="clear" w:color="auto" w:fill="auto"/>
            <w:vAlign w:val="center"/>
            <w:hideMark/>
          </w:tcPr>
          <w:p w14:paraId="11E4CDE9" w14:textId="44C2F8BE" w:rsidR="0051023F" w:rsidRPr="0051023F" w:rsidRDefault="0051023F" w:rsidP="00D00533">
            <w:pPr>
              <w:jc w:val="center"/>
              <w:rPr>
                <w:rFonts w:ascii="Calibri" w:eastAsia="Times New Roman" w:hAnsi="Calibri" w:cs="Calibri"/>
                <w:color w:val="000000"/>
                <w:sz w:val="22"/>
                <w:szCs w:val="22"/>
                <w:lang w:val="en-GB" w:eastAsia="en-GB"/>
              </w:rPr>
            </w:pPr>
          </w:p>
        </w:tc>
        <w:tc>
          <w:tcPr>
            <w:tcW w:w="1392" w:type="dxa"/>
            <w:tcBorders>
              <w:top w:val="nil"/>
              <w:left w:val="nil"/>
              <w:bottom w:val="single" w:sz="8" w:space="0" w:color="000000"/>
              <w:right w:val="single" w:sz="8" w:space="0" w:color="000000"/>
            </w:tcBorders>
            <w:shd w:val="clear" w:color="auto" w:fill="auto"/>
            <w:vAlign w:val="center"/>
            <w:hideMark/>
          </w:tcPr>
          <w:p w14:paraId="11BC0D9C" w14:textId="110AF7A7"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21,999.78</w:t>
            </w:r>
          </w:p>
        </w:tc>
        <w:tc>
          <w:tcPr>
            <w:tcW w:w="1332" w:type="dxa"/>
            <w:gridSpan w:val="3"/>
            <w:tcBorders>
              <w:top w:val="nil"/>
              <w:left w:val="nil"/>
              <w:bottom w:val="single" w:sz="8" w:space="0" w:color="000000"/>
              <w:right w:val="single" w:sz="4" w:space="0" w:color="000000"/>
            </w:tcBorders>
            <w:shd w:val="clear" w:color="auto" w:fill="auto"/>
            <w:vAlign w:val="center"/>
            <w:hideMark/>
          </w:tcPr>
          <w:p w14:paraId="7662C25B" w14:textId="52B630FE"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22,000</w:t>
            </w:r>
          </w:p>
        </w:tc>
      </w:tr>
      <w:tr w:rsidR="005A5752" w:rsidRPr="0051023F" w14:paraId="2D366D5A" w14:textId="77777777" w:rsidTr="00E20605">
        <w:trPr>
          <w:gridAfter w:val="2"/>
          <w:wAfter w:w="38" w:type="dxa"/>
          <w:trHeight w:val="315"/>
        </w:trPr>
        <w:tc>
          <w:tcPr>
            <w:tcW w:w="6516" w:type="dxa"/>
            <w:gridSpan w:val="2"/>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009B1D9C" w14:textId="328273E4"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Subtotal</w:t>
            </w:r>
          </w:p>
        </w:tc>
        <w:tc>
          <w:tcPr>
            <w:tcW w:w="1282" w:type="dxa"/>
            <w:tcBorders>
              <w:top w:val="nil"/>
              <w:left w:val="nil"/>
              <w:bottom w:val="single" w:sz="8" w:space="0" w:color="000000"/>
              <w:right w:val="single" w:sz="8" w:space="0" w:color="000000"/>
            </w:tcBorders>
            <w:shd w:val="clear" w:color="auto" w:fill="auto"/>
            <w:vAlign w:val="center"/>
            <w:hideMark/>
          </w:tcPr>
          <w:p w14:paraId="59CB8FE2" w14:textId="35F60108"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6,239,498.7</w:t>
            </w:r>
          </w:p>
        </w:tc>
        <w:tc>
          <w:tcPr>
            <w:tcW w:w="1393" w:type="dxa"/>
            <w:gridSpan w:val="3"/>
            <w:tcBorders>
              <w:top w:val="nil"/>
              <w:left w:val="nil"/>
              <w:bottom w:val="single" w:sz="8" w:space="0" w:color="000000"/>
              <w:right w:val="single" w:sz="8" w:space="0" w:color="000000"/>
            </w:tcBorders>
            <w:shd w:val="clear" w:color="auto" w:fill="auto"/>
            <w:vAlign w:val="center"/>
            <w:hideMark/>
          </w:tcPr>
          <w:p w14:paraId="715BC35E" w14:textId="4142F24F"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1,444,816.9</w:t>
            </w:r>
          </w:p>
        </w:tc>
        <w:tc>
          <w:tcPr>
            <w:tcW w:w="1392" w:type="dxa"/>
            <w:tcBorders>
              <w:top w:val="nil"/>
              <w:left w:val="nil"/>
              <w:bottom w:val="single" w:sz="8" w:space="0" w:color="000000"/>
              <w:right w:val="single" w:sz="8" w:space="0" w:color="000000"/>
            </w:tcBorders>
            <w:shd w:val="clear" w:color="auto" w:fill="auto"/>
            <w:vAlign w:val="center"/>
            <w:hideMark/>
          </w:tcPr>
          <w:p w14:paraId="6862D286" w14:textId="54B89A36"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1,397,487</w:t>
            </w:r>
          </w:p>
        </w:tc>
        <w:tc>
          <w:tcPr>
            <w:tcW w:w="1392" w:type="dxa"/>
            <w:tcBorders>
              <w:top w:val="nil"/>
              <w:left w:val="nil"/>
              <w:bottom w:val="single" w:sz="8" w:space="0" w:color="000000"/>
              <w:right w:val="single" w:sz="8" w:space="0" w:color="000000"/>
            </w:tcBorders>
            <w:shd w:val="clear" w:color="auto" w:fill="auto"/>
            <w:vAlign w:val="center"/>
            <w:hideMark/>
          </w:tcPr>
          <w:p w14:paraId="323355BE" w14:textId="41F7B31E"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1,145,346</w:t>
            </w:r>
          </w:p>
        </w:tc>
        <w:tc>
          <w:tcPr>
            <w:tcW w:w="1392" w:type="dxa"/>
            <w:tcBorders>
              <w:top w:val="nil"/>
              <w:left w:val="nil"/>
              <w:bottom w:val="single" w:sz="8" w:space="0" w:color="000000"/>
              <w:right w:val="single" w:sz="8" w:space="0" w:color="000000"/>
            </w:tcBorders>
            <w:shd w:val="clear" w:color="auto" w:fill="auto"/>
            <w:vAlign w:val="center"/>
            <w:hideMark/>
          </w:tcPr>
          <w:p w14:paraId="766D258C" w14:textId="38DB61D8"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2,238,876</w:t>
            </w:r>
          </w:p>
        </w:tc>
        <w:tc>
          <w:tcPr>
            <w:tcW w:w="1332" w:type="dxa"/>
            <w:gridSpan w:val="3"/>
            <w:tcBorders>
              <w:top w:val="nil"/>
              <w:left w:val="nil"/>
              <w:bottom w:val="single" w:sz="8" w:space="0" w:color="000000"/>
              <w:right w:val="single" w:sz="4" w:space="0" w:color="000000"/>
            </w:tcBorders>
            <w:shd w:val="clear" w:color="auto" w:fill="auto"/>
            <w:vAlign w:val="center"/>
            <w:hideMark/>
          </w:tcPr>
          <w:p w14:paraId="54466FA8" w14:textId="2AC088BA"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6,226,526</w:t>
            </w:r>
          </w:p>
        </w:tc>
      </w:tr>
      <w:tr w:rsidR="005A5752" w:rsidRPr="0051023F" w14:paraId="36EDD51B" w14:textId="77777777" w:rsidTr="00E20605">
        <w:trPr>
          <w:gridAfter w:val="2"/>
          <w:wAfter w:w="38" w:type="dxa"/>
          <w:trHeight w:val="315"/>
        </w:trPr>
        <w:tc>
          <w:tcPr>
            <w:tcW w:w="6516" w:type="dxa"/>
            <w:gridSpan w:val="2"/>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1C0DF010" w14:textId="374A0C5B"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GENERAL MANAGEMENT COST AT 8%</w:t>
            </w:r>
          </w:p>
        </w:tc>
        <w:tc>
          <w:tcPr>
            <w:tcW w:w="1282" w:type="dxa"/>
            <w:tcBorders>
              <w:top w:val="nil"/>
              <w:left w:val="nil"/>
              <w:bottom w:val="single" w:sz="8" w:space="0" w:color="000000"/>
              <w:right w:val="single" w:sz="8" w:space="0" w:color="000000"/>
            </w:tcBorders>
            <w:shd w:val="clear" w:color="auto" w:fill="auto"/>
            <w:vAlign w:val="center"/>
            <w:hideMark/>
          </w:tcPr>
          <w:p w14:paraId="5DBF4B89" w14:textId="68C01209"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499,159.9</w:t>
            </w:r>
          </w:p>
        </w:tc>
        <w:tc>
          <w:tcPr>
            <w:tcW w:w="1393" w:type="dxa"/>
            <w:gridSpan w:val="3"/>
            <w:tcBorders>
              <w:top w:val="nil"/>
              <w:left w:val="nil"/>
              <w:bottom w:val="single" w:sz="8" w:space="0" w:color="000000"/>
              <w:right w:val="single" w:sz="8" w:space="0" w:color="000000"/>
            </w:tcBorders>
            <w:shd w:val="clear" w:color="auto" w:fill="auto"/>
            <w:vAlign w:val="center"/>
            <w:hideMark/>
          </w:tcPr>
          <w:p w14:paraId="0EC1A9AE" w14:textId="0A5E6DBC"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115,585.3</w:t>
            </w:r>
          </w:p>
        </w:tc>
        <w:tc>
          <w:tcPr>
            <w:tcW w:w="1392" w:type="dxa"/>
            <w:tcBorders>
              <w:top w:val="nil"/>
              <w:left w:val="nil"/>
              <w:bottom w:val="single" w:sz="8" w:space="0" w:color="000000"/>
              <w:right w:val="single" w:sz="8" w:space="0" w:color="000000"/>
            </w:tcBorders>
            <w:shd w:val="clear" w:color="auto" w:fill="auto"/>
            <w:vAlign w:val="center"/>
            <w:hideMark/>
          </w:tcPr>
          <w:p w14:paraId="369722B2" w14:textId="3AFBB019"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111,762</w:t>
            </w:r>
          </w:p>
        </w:tc>
        <w:tc>
          <w:tcPr>
            <w:tcW w:w="1392" w:type="dxa"/>
            <w:tcBorders>
              <w:top w:val="nil"/>
              <w:left w:val="nil"/>
              <w:bottom w:val="single" w:sz="8" w:space="0" w:color="000000"/>
              <w:right w:val="single" w:sz="8" w:space="0" w:color="000000"/>
            </w:tcBorders>
            <w:shd w:val="clear" w:color="auto" w:fill="auto"/>
            <w:vAlign w:val="center"/>
            <w:hideMark/>
          </w:tcPr>
          <w:p w14:paraId="5F1AE020" w14:textId="56632245"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91,115</w:t>
            </w:r>
          </w:p>
        </w:tc>
        <w:tc>
          <w:tcPr>
            <w:tcW w:w="1392" w:type="dxa"/>
            <w:tcBorders>
              <w:top w:val="nil"/>
              <w:left w:val="nil"/>
              <w:bottom w:val="single" w:sz="8" w:space="0" w:color="000000"/>
              <w:right w:val="single" w:sz="8" w:space="0" w:color="000000"/>
            </w:tcBorders>
            <w:shd w:val="clear" w:color="auto" w:fill="auto"/>
            <w:vAlign w:val="center"/>
            <w:hideMark/>
          </w:tcPr>
          <w:p w14:paraId="2515272F" w14:textId="45BCF72D"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179,110</w:t>
            </w:r>
          </w:p>
        </w:tc>
        <w:tc>
          <w:tcPr>
            <w:tcW w:w="1332" w:type="dxa"/>
            <w:gridSpan w:val="3"/>
            <w:tcBorders>
              <w:top w:val="nil"/>
              <w:left w:val="nil"/>
              <w:bottom w:val="single" w:sz="8" w:space="0" w:color="000000"/>
              <w:right w:val="single" w:sz="4" w:space="0" w:color="000000"/>
            </w:tcBorders>
            <w:shd w:val="clear" w:color="auto" w:fill="auto"/>
            <w:vAlign w:val="center"/>
            <w:hideMark/>
          </w:tcPr>
          <w:p w14:paraId="378CFDB5" w14:textId="68751359" w:rsidR="0051023F" w:rsidRPr="0051023F" w:rsidRDefault="0051023F" w:rsidP="00D00533">
            <w:pPr>
              <w:jc w:val="center"/>
              <w:rPr>
                <w:rFonts w:ascii="Calibri" w:eastAsia="Times New Roman" w:hAnsi="Calibri" w:cs="Calibri"/>
                <w:color w:val="000000"/>
                <w:sz w:val="22"/>
                <w:szCs w:val="22"/>
                <w:lang w:val="en-GB" w:eastAsia="en-GB"/>
              </w:rPr>
            </w:pPr>
            <w:r w:rsidRPr="0051023F">
              <w:rPr>
                <w:rFonts w:ascii="Calibri" w:eastAsia="Times New Roman" w:hAnsi="Calibri" w:cs="Calibri"/>
                <w:color w:val="000000"/>
                <w:sz w:val="22"/>
                <w:szCs w:val="22"/>
                <w:lang w:val="en-GB" w:eastAsia="en-GB"/>
              </w:rPr>
              <w:t>497,572</w:t>
            </w:r>
          </w:p>
        </w:tc>
      </w:tr>
      <w:tr w:rsidR="00B51C45" w:rsidRPr="0051023F" w14:paraId="3E5CF269" w14:textId="77777777" w:rsidTr="00B51C45">
        <w:trPr>
          <w:gridAfter w:val="2"/>
          <w:wAfter w:w="38" w:type="dxa"/>
          <w:trHeight w:val="315"/>
        </w:trPr>
        <w:tc>
          <w:tcPr>
            <w:tcW w:w="6516" w:type="dxa"/>
            <w:gridSpan w:val="2"/>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5D154A2B" w14:textId="6E741A77"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TOTAL GRAND</w:t>
            </w:r>
          </w:p>
        </w:tc>
        <w:tc>
          <w:tcPr>
            <w:tcW w:w="1282" w:type="dxa"/>
            <w:tcBorders>
              <w:top w:val="nil"/>
              <w:left w:val="nil"/>
              <w:bottom w:val="nil"/>
              <w:right w:val="single" w:sz="8" w:space="0" w:color="000000"/>
            </w:tcBorders>
            <w:shd w:val="clear" w:color="auto" w:fill="auto"/>
            <w:vAlign w:val="center"/>
            <w:hideMark/>
          </w:tcPr>
          <w:p w14:paraId="14CB39E7" w14:textId="5E046DC2"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6,738,658.6</w:t>
            </w:r>
          </w:p>
        </w:tc>
        <w:tc>
          <w:tcPr>
            <w:tcW w:w="1393" w:type="dxa"/>
            <w:gridSpan w:val="3"/>
            <w:tcBorders>
              <w:top w:val="nil"/>
              <w:left w:val="nil"/>
              <w:bottom w:val="nil"/>
              <w:right w:val="single" w:sz="8" w:space="0" w:color="000000"/>
            </w:tcBorders>
            <w:shd w:val="clear" w:color="auto" w:fill="auto"/>
            <w:vAlign w:val="center"/>
            <w:hideMark/>
          </w:tcPr>
          <w:p w14:paraId="53790412" w14:textId="1E22A583"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1,560,402.22</w:t>
            </w:r>
          </w:p>
        </w:tc>
        <w:tc>
          <w:tcPr>
            <w:tcW w:w="1392" w:type="dxa"/>
            <w:tcBorders>
              <w:top w:val="nil"/>
              <w:left w:val="nil"/>
              <w:bottom w:val="nil"/>
              <w:right w:val="single" w:sz="8" w:space="0" w:color="000000"/>
            </w:tcBorders>
            <w:shd w:val="clear" w:color="auto" w:fill="auto"/>
            <w:vAlign w:val="center"/>
            <w:hideMark/>
          </w:tcPr>
          <w:p w14:paraId="649E065F" w14:textId="19FDD106"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1,509,248.44</w:t>
            </w:r>
          </w:p>
        </w:tc>
        <w:tc>
          <w:tcPr>
            <w:tcW w:w="1392" w:type="dxa"/>
            <w:tcBorders>
              <w:top w:val="nil"/>
              <w:left w:val="nil"/>
              <w:bottom w:val="nil"/>
              <w:right w:val="single" w:sz="8" w:space="0" w:color="000000"/>
            </w:tcBorders>
            <w:shd w:val="clear" w:color="auto" w:fill="auto"/>
            <w:vAlign w:val="center"/>
            <w:hideMark/>
          </w:tcPr>
          <w:p w14:paraId="1D675091" w14:textId="300659D3"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1,236,460.85</w:t>
            </w:r>
          </w:p>
        </w:tc>
        <w:tc>
          <w:tcPr>
            <w:tcW w:w="1392" w:type="dxa"/>
            <w:tcBorders>
              <w:top w:val="nil"/>
              <w:left w:val="nil"/>
              <w:bottom w:val="nil"/>
              <w:right w:val="single" w:sz="8" w:space="0" w:color="000000"/>
            </w:tcBorders>
            <w:shd w:val="clear" w:color="auto" w:fill="auto"/>
            <w:vAlign w:val="center"/>
            <w:hideMark/>
          </w:tcPr>
          <w:p w14:paraId="1F8A8D4A" w14:textId="5BC8DA7C"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2,417,986.17</w:t>
            </w:r>
          </w:p>
        </w:tc>
        <w:tc>
          <w:tcPr>
            <w:tcW w:w="1332" w:type="dxa"/>
            <w:gridSpan w:val="3"/>
            <w:tcBorders>
              <w:top w:val="nil"/>
              <w:left w:val="nil"/>
              <w:bottom w:val="nil"/>
              <w:right w:val="single" w:sz="4" w:space="0" w:color="000000"/>
            </w:tcBorders>
            <w:shd w:val="clear" w:color="auto" w:fill="auto"/>
            <w:vAlign w:val="center"/>
            <w:hideMark/>
          </w:tcPr>
          <w:p w14:paraId="215B15B8" w14:textId="20EBE69F" w:rsidR="0051023F" w:rsidRPr="0051023F" w:rsidRDefault="0051023F" w:rsidP="00D00533">
            <w:pPr>
              <w:jc w:val="center"/>
              <w:rPr>
                <w:rFonts w:ascii="Calibri" w:eastAsia="Times New Roman" w:hAnsi="Calibri" w:cs="Calibri"/>
                <w:b/>
                <w:bCs/>
                <w:color w:val="000000"/>
                <w:sz w:val="22"/>
                <w:szCs w:val="22"/>
                <w:lang w:val="en-GB" w:eastAsia="en-GB"/>
              </w:rPr>
            </w:pPr>
            <w:r w:rsidRPr="0051023F">
              <w:rPr>
                <w:rFonts w:ascii="Calibri" w:eastAsia="Times New Roman" w:hAnsi="Calibri" w:cs="Calibri"/>
                <w:b/>
                <w:bCs/>
                <w:color w:val="000000"/>
                <w:sz w:val="22"/>
                <w:szCs w:val="22"/>
                <w:lang w:val="en-GB" w:eastAsia="en-GB"/>
              </w:rPr>
              <w:t>6,724,098</w:t>
            </w:r>
          </w:p>
        </w:tc>
      </w:tr>
      <w:tr w:rsidR="00B51C45" w:rsidRPr="0051023F" w14:paraId="581C4585" w14:textId="77777777" w:rsidTr="00D0381A">
        <w:trPr>
          <w:gridAfter w:val="2"/>
          <w:wAfter w:w="38" w:type="dxa"/>
          <w:trHeight w:val="315"/>
        </w:trPr>
        <w:tc>
          <w:tcPr>
            <w:tcW w:w="14699" w:type="dxa"/>
            <w:gridSpan w:val="12"/>
            <w:tcBorders>
              <w:top w:val="single" w:sz="8" w:space="0" w:color="000000"/>
              <w:left w:val="single" w:sz="4" w:space="0" w:color="000000"/>
              <w:bottom w:val="single" w:sz="8" w:space="0" w:color="000000"/>
              <w:right w:val="single" w:sz="4" w:space="0" w:color="000000"/>
            </w:tcBorders>
            <w:shd w:val="clear" w:color="auto" w:fill="auto"/>
            <w:vAlign w:val="center"/>
          </w:tcPr>
          <w:p w14:paraId="5D030679" w14:textId="005882CA" w:rsidR="00B51C45" w:rsidRPr="00A56809" w:rsidRDefault="00A56809" w:rsidP="00A56809">
            <w:pPr>
              <w:jc w:val="both"/>
              <w:rPr>
                <w:rFonts w:ascii="Calibri" w:eastAsia="Times New Roman" w:hAnsi="Calibri" w:cs="Calibri"/>
                <w:color w:val="000000"/>
                <w:sz w:val="22"/>
                <w:szCs w:val="22"/>
                <w:lang w:val="en-GB" w:eastAsia="en-GB"/>
              </w:rPr>
            </w:pPr>
            <w:r w:rsidRPr="00A56809">
              <w:rPr>
                <w:rFonts w:ascii="Calibri" w:eastAsia="Times New Roman" w:hAnsi="Calibri" w:cs="Calibri"/>
                <w:color w:val="000000"/>
                <w:sz w:val="22"/>
                <w:szCs w:val="22"/>
                <w:lang w:val="en-GB" w:eastAsia="en-GB"/>
              </w:rPr>
              <w:t>UNDP confirms that the funds spent during this reporting period have been spent for the purpose of this project exclusively and in accordance with the terms and conditions of the Funding Agreement. Data contained in this report is an extract from UNDP financial records. All financial information provided above is provisional. Certified financial statements will be provided on 30 June of the following year of the reporting year</w:t>
            </w:r>
          </w:p>
        </w:tc>
      </w:tr>
    </w:tbl>
    <w:bookmarkEnd w:id="227"/>
    <w:p w14:paraId="70FA6B49" w14:textId="77777777" w:rsidR="001F71C3" w:rsidRDefault="0042141E" w:rsidP="007F1E8D">
      <w:pPr>
        <w:spacing w:after="160" w:line="259" w:lineRule="auto"/>
        <w:rPr>
          <w:rFonts w:ascii="Corbel" w:hAnsi="Corbel"/>
          <w:lang w:val="en-GB"/>
        </w:rPr>
        <w:sectPr w:rsidR="001F71C3" w:rsidSect="0033304F">
          <w:pgSz w:w="15840" w:h="12240" w:orient="landscape"/>
          <w:pgMar w:top="851" w:right="900" w:bottom="1440" w:left="720" w:header="720" w:footer="720" w:gutter="0"/>
          <w:cols w:space="720"/>
          <w:docGrid w:linePitch="360"/>
        </w:sectPr>
      </w:pPr>
      <w:r>
        <w:rPr>
          <w:rFonts w:ascii="Corbel" w:hAnsi="Corbel"/>
          <w:lang w:val="en-GB"/>
        </w:rPr>
        <w:t xml:space="preserve">  </w:t>
      </w:r>
    </w:p>
    <w:p w14:paraId="24426280" w14:textId="225EF6C7" w:rsidR="0042141E" w:rsidRDefault="001F71C3" w:rsidP="001F71C3">
      <w:pPr>
        <w:pStyle w:val="Heading1"/>
        <w:rPr>
          <w:lang w:val="en-GB"/>
        </w:rPr>
      </w:pPr>
      <w:bookmarkStart w:id="228" w:name="_Toc103506757"/>
      <w:r>
        <w:rPr>
          <w:lang w:val="en-GB"/>
        </w:rPr>
        <w:lastRenderedPageBreak/>
        <w:t xml:space="preserve">Annex 1: </w:t>
      </w:r>
      <w:r w:rsidR="00082D0C">
        <w:rPr>
          <w:lang w:val="en-GB"/>
        </w:rPr>
        <w:t>Summary Progress Report January 2021 – March 2022</w:t>
      </w:r>
      <w:bookmarkEnd w:id="228"/>
    </w:p>
    <w:p w14:paraId="0CF4CEC9" w14:textId="3693C813" w:rsidR="00082D0C" w:rsidRDefault="00082D0C" w:rsidP="00082D0C">
      <w:pPr>
        <w:rPr>
          <w:lang w:val="en-GB"/>
        </w:rPr>
      </w:pPr>
    </w:p>
    <w:p w14:paraId="6B66A8C3" w14:textId="0B01BC33" w:rsidR="001476EE" w:rsidRDefault="001476EE" w:rsidP="000168EC">
      <w:pPr>
        <w:pStyle w:val="ListParagraph"/>
        <w:numPr>
          <w:ilvl w:val="0"/>
          <w:numId w:val="30"/>
        </w:numPr>
        <w:outlineLvl w:val="0"/>
        <w:rPr>
          <w:rFonts w:ascii="Corbel" w:hAnsi="Corbel" w:cs="Arial"/>
          <w:b/>
          <w:color w:val="1F497D"/>
          <w:sz w:val="28"/>
          <w:lang w:val="en-GB"/>
        </w:rPr>
      </w:pPr>
      <w:bookmarkStart w:id="229" w:name="_Toc103506758"/>
      <w:r>
        <w:rPr>
          <w:rFonts w:ascii="Corbel" w:hAnsi="Corbel" w:cs="Arial"/>
          <w:b/>
          <w:color w:val="1F497D"/>
          <w:sz w:val="28"/>
          <w:lang w:val="en-GB"/>
        </w:rPr>
        <w:t>Summary of deliverables and activity implementation</w:t>
      </w:r>
      <w:bookmarkEnd w:id="229"/>
    </w:p>
    <w:p w14:paraId="29EB2688" w14:textId="77777777" w:rsidR="001476EE" w:rsidRDefault="001476EE" w:rsidP="00B51FBB">
      <w:pPr>
        <w:rPr>
          <w:lang w:val="en-GB"/>
        </w:rPr>
      </w:pPr>
    </w:p>
    <w:p w14:paraId="6C25126C" w14:textId="3DEC92A8" w:rsidR="001476EE" w:rsidRPr="009F18B8" w:rsidRDefault="0024076D" w:rsidP="00A970F4">
      <w:pPr>
        <w:jc w:val="both"/>
        <w:rPr>
          <w:rFonts w:ascii="Corbel" w:hAnsi="Corbel"/>
          <w:sz w:val="22"/>
          <w:szCs w:val="22"/>
          <w:lang w:val="en-GB"/>
        </w:rPr>
      </w:pPr>
      <w:r w:rsidRPr="009F18B8">
        <w:rPr>
          <w:rFonts w:ascii="Corbel" w:hAnsi="Corbel"/>
          <w:sz w:val="22"/>
          <w:szCs w:val="22"/>
          <w:lang w:val="en-GB"/>
        </w:rPr>
        <w:t xml:space="preserve">During the no-cost extension granted initially until December 2021, and later further extended until March 2022, the project </w:t>
      </w:r>
      <w:r w:rsidR="00286759" w:rsidRPr="009F18B8">
        <w:rPr>
          <w:rFonts w:ascii="Corbel" w:hAnsi="Corbel"/>
          <w:sz w:val="22"/>
          <w:szCs w:val="22"/>
          <w:lang w:val="en-GB"/>
        </w:rPr>
        <w:t>focused on wrapping up key a</w:t>
      </w:r>
      <w:r w:rsidR="00286400" w:rsidRPr="009F18B8">
        <w:rPr>
          <w:rFonts w:ascii="Corbel" w:hAnsi="Corbel"/>
          <w:sz w:val="22"/>
          <w:szCs w:val="22"/>
          <w:lang w:val="en-GB"/>
        </w:rPr>
        <w:t>ctivities</w:t>
      </w:r>
      <w:r w:rsidR="00286759" w:rsidRPr="009F18B8">
        <w:rPr>
          <w:rFonts w:ascii="Corbel" w:hAnsi="Corbel"/>
          <w:sz w:val="22"/>
          <w:szCs w:val="22"/>
          <w:lang w:val="en-GB"/>
        </w:rPr>
        <w:t xml:space="preserve">, transferring the acquired know-how to regional and national partner institutions, and </w:t>
      </w:r>
      <w:r w:rsidR="00A43CAF" w:rsidRPr="009F18B8">
        <w:rPr>
          <w:rFonts w:ascii="Corbel" w:hAnsi="Corbel"/>
          <w:sz w:val="22"/>
          <w:szCs w:val="22"/>
          <w:lang w:val="en-GB"/>
        </w:rPr>
        <w:t xml:space="preserve">capturing lessons learned to inform future interventions in this area. </w:t>
      </w:r>
    </w:p>
    <w:p w14:paraId="71591F1E" w14:textId="77777777" w:rsidR="00A43CAF" w:rsidRPr="009F18B8" w:rsidRDefault="00A43CAF" w:rsidP="00A970F4">
      <w:pPr>
        <w:rPr>
          <w:rFonts w:ascii="Corbel" w:hAnsi="Corbel"/>
          <w:sz w:val="22"/>
          <w:szCs w:val="22"/>
          <w:lang w:val="en-GB"/>
        </w:rPr>
      </w:pPr>
    </w:p>
    <w:p w14:paraId="717EDB17" w14:textId="23044D78" w:rsidR="00A43CAF" w:rsidRPr="009F18B8" w:rsidRDefault="00A970F4" w:rsidP="00D75BB1">
      <w:pPr>
        <w:jc w:val="both"/>
        <w:rPr>
          <w:rFonts w:ascii="Corbel" w:hAnsi="Corbel"/>
          <w:sz w:val="22"/>
          <w:szCs w:val="22"/>
          <w:lang w:val="en-GB"/>
        </w:rPr>
      </w:pPr>
      <w:r w:rsidRPr="009F18B8">
        <w:rPr>
          <w:rFonts w:ascii="Corbel" w:hAnsi="Corbel"/>
          <w:sz w:val="22"/>
          <w:szCs w:val="22"/>
          <w:lang w:val="en-GB"/>
        </w:rPr>
        <w:t xml:space="preserve">Activities related to output 1 and 2, contributing to outcome 1 on Strengthening the League of Arab States capacities for economic integration, were </w:t>
      </w:r>
      <w:r w:rsidR="00D75BB1" w:rsidRPr="009F18B8">
        <w:rPr>
          <w:rFonts w:ascii="Corbel" w:hAnsi="Corbel"/>
          <w:sz w:val="22"/>
          <w:szCs w:val="22"/>
          <w:lang w:val="en-GB"/>
        </w:rPr>
        <w:t xml:space="preserve">geared to finalize and hand over all technical studies and documentation. </w:t>
      </w:r>
      <w:r w:rsidR="00A93CE5" w:rsidRPr="009F18B8">
        <w:rPr>
          <w:rFonts w:ascii="Corbel" w:hAnsi="Corbel"/>
          <w:sz w:val="22"/>
          <w:szCs w:val="22"/>
          <w:lang w:val="en-GB"/>
        </w:rPr>
        <w:t xml:space="preserve">The LAS technical secretariat received </w:t>
      </w:r>
      <w:r w:rsidR="003F5020" w:rsidRPr="009F18B8">
        <w:rPr>
          <w:rFonts w:ascii="Corbel" w:hAnsi="Corbel"/>
          <w:sz w:val="22"/>
          <w:szCs w:val="22"/>
          <w:lang w:val="en-GB"/>
        </w:rPr>
        <w:t xml:space="preserve">the documentation related to the impact of the Arab Custom Union, </w:t>
      </w:r>
      <w:r w:rsidR="006D329B" w:rsidRPr="009F18B8">
        <w:rPr>
          <w:rFonts w:ascii="Corbel" w:hAnsi="Corbel"/>
          <w:sz w:val="22"/>
          <w:szCs w:val="22"/>
          <w:lang w:val="en-GB"/>
        </w:rPr>
        <w:t xml:space="preserve">the cumulation of rules of origins, </w:t>
      </w:r>
      <w:r w:rsidR="00504466" w:rsidRPr="009F18B8">
        <w:rPr>
          <w:rFonts w:ascii="Corbel" w:hAnsi="Corbel"/>
          <w:sz w:val="22"/>
          <w:szCs w:val="22"/>
          <w:lang w:val="en-GB"/>
        </w:rPr>
        <w:t xml:space="preserve">and the governance mechanisms for the draft Protocol on Trade Facilitation. </w:t>
      </w:r>
      <w:r w:rsidR="006D6161" w:rsidRPr="009F18B8">
        <w:rPr>
          <w:rFonts w:ascii="Corbel" w:hAnsi="Corbel"/>
          <w:sz w:val="22"/>
          <w:szCs w:val="22"/>
          <w:lang w:val="en-GB"/>
        </w:rPr>
        <w:t xml:space="preserve">With due consideration to the continuation of the COVID-19 pandemic and </w:t>
      </w:r>
      <w:r w:rsidR="00B20C3C" w:rsidRPr="009F18B8">
        <w:rPr>
          <w:rFonts w:ascii="Corbel" w:hAnsi="Corbel"/>
          <w:sz w:val="22"/>
          <w:szCs w:val="22"/>
          <w:lang w:val="en-GB"/>
        </w:rPr>
        <w:t>the increased familiarity of stakeholders with on-line consultations, the documentation was presented to Member States through a series of webinars.</w:t>
      </w:r>
    </w:p>
    <w:p w14:paraId="2481E885" w14:textId="77777777" w:rsidR="00B20C3C" w:rsidRPr="009F18B8" w:rsidRDefault="00B20C3C" w:rsidP="00D75BB1">
      <w:pPr>
        <w:jc w:val="both"/>
        <w:rPr>
          <w:rFonts w:ascii="Corbel" w:hAnsi="Corbel"/>
          <w:sz w:val="22"/>
          <w:szCs w:val="22"/>
          <w:lang w:val="en-GB"/>
        </w:rPr>
      </w:pPr>
    </w:p>
    <w:p w14:paraId="7A2CCBA7" w14:textId="2E1128C7" w:rsidR="00B20C3C" w:rsidRPr="009F18B8" w:rsidRDefault="003B7077" w:rsidP="00D75BB1">
      <w:pPr>
        <w:jc w:val="both"/>
        <w:rPr>
          <w:rFonts w:ascii="Corbel" w:hAnsi="Corbel"/>
          <w:sz w:val="22"/>
          <w:szCs w:val="22"/>
          <w:lang w:val="en-GB"/>
        </w:rPr>
      </w:pPr>
      <w:r w:rsidRPr="009F18B8">
        <w:rPr>
          <w:rFonts w:ascii="Corbel" w:hAnsi="Corbel"/>
          <w:sz w:val="22"/>
          <w:szCs w:val="22"/>
          <w:lang w:val="en-GB"/>
        </w:rPr>
        <w:t xml:space="preserve">Activities related to outputs 4 and 5, contributing to </w:t>
      </w:r>
      <w:r w:rsidR="00081089" w:rsidRPr="009F18B8">
        <w:rPr>
          <w:rFonts w:ascii="Corbel" w:hAnsi="Corbel"/>
          <w:sz w:val="22"/>
          <w:szCs w:val="22"/>
          <w:lang w:val="en-GB"/>
        </w:rPr>
        <w:t xml:space="preserve">outcome two on PAFTA member states capacities to participate in economic integration, </w:t>
      </w:r>
      <w:r w:rsidR="00B87729" w:rsidRPr="009F18B8">
        <w:rPr>
          <w:rFonts w:ascii="Corbel" w:hAnsi="Corbel"/>
          <w:sz w:val="22"/>
          <w:szCs w:val="22"/>
          <w:lang w:val="en-GB"/>
        </w:rPr>
        <w:t xml:space="preserve">were re-focused to maximise the impact of those activities that benefited from commitment and political will among national stakeholders. </w:t>
      </w:r>
      <w:r w:rsidR="00204637" w:rsidRPr="009F18B8">
        <w:rPr>
          <w:rFonts w:ascii="Corbel" w:hAnsi="Corbel"/>
          <w:sz w:val="22"/>
          <w:szCs w:val="22"/>
          <w:lang w:val="en-GB"/>
        </w:rPr>
        <w:t xml:space="preserve">The project </w:t>
      </w:r>
      <w:proofErr w:type="spellStart"/>
      <w:r w:rsidR="00204637" w:rsidRPr="009F18B8">
        <w:rPr>
          <w:rFonts w:ascii="Corbel" w:hAnsi="Corbel"/>
          <w:sz w:val="22"/>
          <w:szCs w:val="22"/>
          <w:lang w:val="en-GB"/>
        </w:rPr>
        <w:t>succeded</w:t>
      </w:r>
      <w:proofErr w:type="spellEnd"/>
      <w:r w:rsidR="00204637" w:rsidRPr="009F18B8">
        <w:rPr>
          <w:rFonts w:ascii="Corbel" w:hAnsi="Corbel"/>
          <w:sz w:val="22"/>
          <w:szCs w:val="22"/>
          <w:lang w:val="en-GB"/>
        </w:rPr>
        <w:t xml:space="preserve"> in completing phase two of the Jordan National Single Window, with the </w:t>
      </w:r>
      <w:r w:rsidR="00AB531B" w:rsidRPr="009F18B8">
        <w:rPr>
          <w:rFonts w:ascii="Corbel" w:hAnsi="Corbel"/>
          <w:sz w:val="22"/>
          <w:szCs w:val="22"/>
          <w:lang w:val="en-GB"/>
        </w:rPr>
        <w:t>development of the Jordan Licencing Hub. Palestine could join the Arab Agreement on Trade in Services thanks to the support of the project</w:t>
      </w:r>
      <w:r w:rsidR="00B64E31" w:rsidRPr="009F18B8">
        <w:rPr>
          <w:rFonts w:ascii="Corbel" w:hAnsi="Corbel"/>
          <w:sz w:val="22"/>
          <w:szCs w:val="22"/>
          <w:lang w:val="en-GB"/>
        </w:rPr>
        <w:t xml:space="preserve">. In Morocco, in partnership with UNCTAD, a review of trade in three sectors and an assessment of the Morocco </w:t>
      </w:r>
      <w:r w:rsidR="00893A98" w:rsidRPr="009F18B8">
        <w:rPr>
          <w:rFonts w:ascii="Corbel" w:hAnsi="Corbel"/>
          <w:sz w:val="22"/>
          <w:szCs w:val="22"/>
          <w:lang w:val="en-GB"/>
        </w:rPr>
        <w:t xml:space="preserve">National Funding Window were completed. Finally, leveraging previous analysis and stakeholder engagement, </w:t>
      </w:r>
      <w:r w:rsidR="006D0749" w:rsidRPr="009F18B8">
        <w:rPr>
          <w:rFonts w:ascii="Corbel" w:hAnsi="Corbel"/>
          <w:sz w:val="22"/>
          <w:szCs w:val="22"/>
          <w:lang w:val="en-GB"/>
        </w:rPr>
        <w:t xml:space="preserve">a pilot was implemented to provide </w:t>
      </w:r>
      <w:r w:rsidR="00893A98" w:rsidRPr="009F18B8">
        <w:rPr>
          <w:rFonts w:ascii="Corbel" w:hAnsi="Corbel"/>
          <w:sz w:val="22"/>
          <w:szCs w:val="22"/>
          <w:lang w:val="en-GB"/>
        </w:rPr>
        <w:t xml:space="preserve">direct </w:t>
      </w:r>
      <w:r w:rsidR="001D2CC5" w:rsidRPr="009F18B8">
        <w:rPr>
          <w:rFonts w:ascii="Corbel" w:hAnsi="Corbel"/>
          <w:sz w:val="22"/>
          <w:szCs w:val="22"/>
          <w:lang w:val="en-GB"/>
        </w:rPr>
        <w:t xml:space="preserve">export </w:t>
      </w:r>
      <w:r w:rsidR="00893A98" w:rsidRPr="009F18B8">
        <w:rPr>
          <w:rFonts w:ascii="Corbel" w:hAnsi="Corbel"/>
          <w:sz w:val="22"/>
          <w:szCs w:val="22"/>
          <w:lang w:val="en-GB"/>
        </w:rPr>
        <w:t xml:space="preserve">support </w:t>
      </w:r>
      <w:r w:rsidR="006D0749" w:rsidRPr="009F18B8">
        <w:rPr>
          <w:rFonts w:ascii="Corbel" w:hAnsi="Corbel"/>
          <w:sz w:val="22"/>
          <w:szCs w:val="22"/>
          <w:lang w:val="en-GB"/>
        </w:rPr>
        <w:t>to</w:t>
      </w:r>
      <w:r w:rsidR="00D2774F" w:rsidRPr="009F18B8">
        <w:rPr>
          <w:rFonts w:ascii="Corbel" w:hAnsi="Corbel"/>
          <w:sz w:val="22"/>
          <w:szCs w:val="22"/>
          <w:lang w:val="en-GB"/>
        </w:rPr>
        <w:t xml:space="preserve"> Lebanese small and medium </w:t>
      </w:r>
      <w:r w:rsidR="001D2CC5" w:rsidRPr="009F18B8">
        <w:rPr>
          <w:rFonts w:ascii="Corbel" w:hAnsi="Corbel"/>
          <w:sz w:val="22"/>
          <w:szCs w:val="22"/>
          <w:lang w:val="en-GB"/>
        </w:rPr>
        <w:t>enterprises</w:t>
      </w:r>
      <w:r w:rsidR="00D2774F" w:rsidRPr="009F18B8">
        <w:rPr>
          <w:rFonts w:ascii="Corbel" w:hAnsi="Corbel"/>
          <w:sz w:val="22"/>
          <w:szCs w:val="22"/>
          <w:lang w:val="en-GB"/>
        </w:rPr>
        <w:t xml:space="preserve">, and </w:t>
      </w:r>
      <w:proofErr w:type="spellStart"/>
      <w:r w:rsidR="00D2774F" w:rsidRPr="009F18B8">
        <w:rPr>
          <w:rFonts w:ascii="Corbel" w:hAnsi="Corbel"/>
          <w:sz w:val="22"/>
          <w:szCs w:val="22"/>
          <w:lang w:val="en-GB"/>
        </w:rPr>
        <w:t>Morocan</w:t>
      </w:r>
      <w:proofErr w:type="spellEnd"/>
      <w:r w:rsidR="00D2774F" w:rsidRPr="009F18B8">
        <w:rPr>
          <w:rFonts w:ascii="Corbel" w:hAnsi="Corbel"/>
          <w:sz w:val="22"/>
          <w:szCs w:val="22"/>
          <w:lang w:val="en-GB"/>
        </w:rPr>
        <w:t xml:space="preserve"> </w:t>
      </w:r>
      <w:r w:rsidR="009F18B8" w:rsidRPr="009F18B8">
        <w:rPr>
          <w:rFonts w:ascii="Corbel" w:hAnsi="Corbel"/>
          <w:sz w:val="22"/>
          <w:szCs w:val="22"/>
          <w:lang w:val="en-GB"/>
        </w:rPr>
        <w:t>women-led</w:t>
      </w:r>
      <w:r w:rsidR="00D2774F" w:rsidRPr="009F18B8">
        <w:rPr>
          <w:rFonts w:ascii="Corbel" w:hAnsi="Corbel"/>
          <w:sz w:val="22"/>
          <w:szCs w:val="22"/>
          <w:lang w:val="en-GB"/>
        </w:rPr>
        <w:t xml:space="preserve"> </w:t>
      </w:r>
      <w:r w:rsidR="006D0749" w:rsidRPr="009F18B8">
        <w:rPr>
          <w:rFonts w:ascii="Corbel" w:hAnsi="Corbel"/>
          <w:sz w:val="22"/>
          <w:szCs w:val="22"/>
          <w:lang w:val="en-GB"/>
        </w:rPr>
        <w:t>Cooperatives</w:t>
      </w:r>
      <w:r w:rsidR="001D2CC5" w:rsidRPr="009F18B8">
        <w:rPr>
          <w:rFonts w:ascii="Corbel" w:hAnsi="Corbel"/>
          <w:sz w:val="22"/>
          <w:szCs w:val="22"/>
          <w:lang w:val="en-GB"/>
        </w:rPr>
        <w:t xml:space="preserve">. The aim of the pilot was to demonstrate the potential of </w:t>
      </w:r>
      <w:r w:rsidR="0012164F" w:rsidRPr="009F18B8">
        <w:rPr>
          <w:rFonts w:ascii="Corbel" w:hAnsi="Corbel"/>
          <w:sz w:val="22"/>
          <w:szCs w:val="22"/>
          <w:lang w:val="en-GB"/>
        </w:rPr>
        <w:t xml:space="preserve">local sustainable </w:t>
      </w:r>
      <w:proofErr w:type="gramStart"/>
      <w:r w:rsidR="0012164F" w:rsidRPr="009F18B8">
        <w:rPr>
          <w:rFonts w:ascii="Corbel" w:hAnsi="Corbel"/>
          <w:sz w:val="22"/>
          <w:szCs w:val="22"/>
          <w:lang w:val="en-GB"/>
        </w:rPr>
        <w:t>products, on</w:t>
      </w:r>
      <w:r w:rsidR="00286400" w:rsidRPr="009F18B8">
        <w:rPr>
          <w:rFonts w:ascii="Corbel" w:hAnsi="Corbel"/>
          <w:sz w:val="22"/>
          <w:szCs w:val="22"/>
          <w:lang w:val="en-GB"/>
        </w:rPr>
        <w:t>ce</w:t>
      </w:r>
      <w:proofErr w:type="gramEnd"/>
      <w:r w:rsidR="0012164F" w:rsidRPr="009F18B8">
        <w:rPr>
          <w:rFonts w:ascii="Corbel" w:hAnsi="Corbel"/>
          <w:sz w:val="22"/>
          <w:szCs w:val="22"/>
          <w:lang w:val="en-GB"/>
        </w:rPr>
        <w:t xml:space="preserve"> local companies are able to overcome administrative bottlenecks and </w:t>
      </w:r>
      <w:r w:rsidR="00F02886" w:rsidRPr="009F18B8">
        <w:rPr>
          <w:rFonts w:ascii="Corbel" w:hAnsi="Corbel"/>
          <w:sz w:val="22"/>
          <w:szCs w:val="22"/>
          <w:lang w:val="en-GB"/>
        </w:rPr>
        <w:t xml:space="preserve">acquire knowledge of export markets. </w:t>
      </w:r>
    </w:p>
    <w:p w14:paraId="194F802A" w14:textId="77777777" w:rsidR="00D828B0" w:rsidRPr="009F18B8" w:rsidRDefault="00D828B0" w:rsidP="00D75BB1">
      <w:pPr>
        <w:jc w:val="both"/>
        <w:rPr>
          <w:rFonts w:ascii="Corbel" w:hAnsi="Corbel"/>
          <w:sz w:val="22"/>
          <w:szCs w:val="22"/>
          <w:lang w:val="en-GB"/>
        </w:rPr>
      </w:pPr>
    </w:p>
    <w:p w14:paraId="564C85D6" w14:textId="6E1BC8BF" w:rsidR="00D828B0" w:rsidRPr="009F18B8" w:rsidRDefault="00D828B0" w:rsidP="00D75BB1">
      <w:pPr>
        <w:jc w:val="both"/>
        <w:rPr>
          <w:rFonts w:ascii="Corbel" w:hAnsi="Corbel"/>
          <w:sz w:val="22"/>
          <w:szCs w:val="22"/>
          <w:lang w:val="en-GB"/>
        </w:rPr>
      </w:pPr>
      <w:r w:rsidRPr="009F18B8">
        <w:rPr>
          <w:rFonts w:ascii="Corbel" w:hAnsi="Corbel"/>
          <w:sz w:val="22"/>
          <w:szCs w:val="22"/>
          <w:lang w:val="en-GB"/>
        </w:rPr>
        <w:t xml:space="preserve">Outcome 3 on inclusive trade processes, with a focus on transparency and </w:t>
      </w:r>
      <w:r w:rsidR="00DA2B58" w:rsidRPr="009F18B8">
        <w:rPr>
          <w:rFonts w:ascii="Corbel" w:hAnsi="Corbel"/>
          <w:sz w:val="22"/>
          <w:szCs w:val="22"/>
          <w:lang w:val="en-GB"/>
        </w:rPr>
        <w:t xml:space="preserve">women empowerment, suffered throughout project implementation due to the lack of prioritization among PAFTA member states, as well as </w:t>
      </w:r>
      <w:r w:rsidR="00C4421B" w:rsidRPr="009F18B8">
        <w:rPr>
          <w:rFonts w:ascii="Corbel" w:hAnsi="Corbel"/>
          <w:sz w:val="22"/>
          <w:szCs w:val="22"/>
          <w:lang w:val="en-GB"/>
        </w:rPr>
        <w:t xml:space="preserve">challenges in the identification of Arab expertise specialized in trade and anti-corruption or the gender dimension of trade. Activities in 2021 were thereby focused on </w:t>
      </w:r>
      <w:r w:rsidR="00895345" w:rsidRPr="009F18B8">
        <w:rPr>
          <w:rFonts w:ascii="Corbel" w:hAnsi="Corbel"/>
          <w:sz w:val="22"/>
          <w:szCs w:val="22"/>
          <w:lang w:val="en-GB"/>
        </w:rPr>
        <w:t xml:space="preserve">the finalization of analysis and assessments that might </w:t>
      </w:r>
      <w:r w:rsidR="00622812" w:rsidRPr="009F18B8">
        <w:rPr>
          <w:rFonts w:ascii="Corbel" w:hAnsi="Corbel"/>
          <w:sz w:val="22"/>
          <w:szCs w:val="22"/>
          <w:lang w:val="en-GB"/>
        </w:rPr>
        <w:t xml:space="preserve">provide baseline data for </w:t>
      </w:r>
      <w:r w:rsidR="009F18B8" w:rsidRPr="009F18B8">
        <w:rPr>
          <w:rFonts w:ascii="Corbel" w:hAnsi="Corbel"/>
          <w:sz w:val="22"/>
          <w:szCs w:val="22"/>
          <w:lang w:val="en-GB"/>
        </w:rPr>
        <w:t>forward-looking</w:t>
      </w:r>
      <w:r w:rsidR="00622812" w:rsidRPr="009F18B8">
        <w:rPr>
          <w:rFonts w:ascii="Corbel" w:hAnsi="Corbel"/>
          <w:sz w:val="22"/>
          <w:szCs w:val="22"/>
          <w:lang w:val="en-GB"/>
        </w:rPr>
        <w:t xml:space="preserve"> work in these areas. It is to be noted that, while the gende</w:t>
      </w:r>
      <w:r w:rsidR="00AE6A6C" w:rsidRPr="009F18B8">
        <w:rPr>
          <w:rFonts w:ascii="Corbel" w:hAnsi="Corbel"/>
          <w:sz w:val="22"/>
          <w:szCs w:val="22"/>
          <w:lang w:val="en-GB"/>
        </w:rPr>
        <w:t xml:space="preserve">r and trade study was published and received the interest of regional and national stakeholders during </w:t>
      </w:r>
      <w:r w:rsidR="00F912D8" w:rsidRPr="009F18B8">
        <w:rPr>
          <w:rFonts w:ascii="Corbel" w:hAnsi="Corbel"/>
          <w:sz w:val="22"/>
          <w:szCs w:val="22"/>
          <w:lang w:val="en-GB"/>
        </w:rPr>
        <w:t xml:space="preserve">a public event, the study on corruption practices in customs procedures could not be released and it is still under consideration with the </w:t>
      </w:r>
      <w:r w:rsidR="00F50B89" w:rsidRPr="009F18B8">
        <w:rPr>
          <w:rFonts w:ascii="Corbel" w:hAnsi="Corbel"/>
          <w:sz w:val="22"/>
          <w:szCs w:val="22"/>
          <w:lang w:val="en-GB"/>
        </w:rPr>
        <w:t>relevant national authorities.</w:t>
      </w:r>
    </w:p>
    <w:p w14:paraId="6B2E3A4E" w14:textId="77777777" w:rsidR="00F50B89" w:rsidRPr="009F18B8" w:rsidRDefault="00F50B89" w:rsidP="00D75BB1">
      <w:pPr>
        <w:jc w:val="both"/>
        <w:rPr>
          <w:rFonts w:ascii="Corbel" w:hAnsi="Corbel"/>
          <w:sz w:val="22"/>
          <w:szCs w:val="22"/>
          <w:lang w:val="en-GB"/>
        </w:rPr>
      </w:pPr>
    </w:p>
    <w:p w14:paraId="2652139D" w14:textId="56D8F716" w:rsidR="00F50B89" w:rsidRDefault="00F50B89" w:rsidP="00D75BB1">
      <w:pPr>
        <w:jc w:val="both"/>
        <w:rPr>
          <w:rFonts w:ascii="Corbel" w:hAnsi="Corbel"/>
          <w:sz w:val="22"/>
          <w:szCs w:val="22"/>
          <w:lang w:val="en-GB"/>
        </w:rPr>
      </w:pPr>
      <w:r w:rsidRPr="009F18B8">
        <w:rPr>
          <w:rFonts w:ascii="Corbel" w:hAnsi="Corbel"/>
          <w:sz w:val="22"/>
          <w:szCs w:val="22"/>
          <w:lang w:val="en-GB"/>
        </w:rPr>
        <w:t xml:space="preserve">The table below summarizes progress against the activities planned </w:t>
      </w:r>
      <w:r w:rsidR="00C0679E" w:rsidRPr="009F18B8">
        <w:rPr>
          <w:rFonts w:ascii="Corbel" w:hAnsi="Corbel"/>
          <w:sz w:val="22"/>
          <w:szCs w:val="22"/>
          <w:lang w:val="en-GB"/>
        </w:rPr>
        <w:t xml:space="preserve">and agreed with </w:t>
      </w:r>
      <w:proofErr w:type="spellStart"/>
      <w:r w:rsidR="00C0679E" w:rsidRPr="009F18B8">
        <w:rPr>
          <w:rFonts w:ascii="Corbel" w:hAnsi="Corbel"/>
          <w:sz w:val="22"/>
          <w:szCs w:val="22"/>
          <w:lang w:val="en-GB"/>
        </w:rPr>
        <w:t>Sida</w:t>
      </w:r>
      <w:proofErr w:type="spellEnd"/>
      <w:r w:rsidR="00C0679E" w:rsidRPr="009F18B8">
        <w:rPr>
          <w:rFonts w:ascii="Corbel" w:hAnsi="Corbel"/>
          <w:sz w:val="22"/>
          <w:szCs w:val="22"/>
          <w:lang w:val="en-GB"/>
        </w:rPr>
        <w:t xml:space="preserve"> </w:t>
      </w:r>
      <w:r w:rsidRPr="009F18B8">
        <w:rPr>
          <w:rFonts w:ascii="Corbel" w:hAnsi="Corbel"/>
          <w:sz w:val="22"/>
          <w:szCs w:val="22"/>
          <w:lang w:val="en-GB"/>
        </w:rPr>
        <w:t xml:space="preserve">for 2021 and </w:t>
      </w:r>
      <w:r w:rsidR="00286400" w:rsidRPr="009F18B8">
        <w:rPr>
          <w:rFonts w:ascii="Corbel" w:hAnsi="Corbel"/>
          <w:sz w:val="22"/>
          <w:szCs w:val="22"/>
          <w:lang w:val="en-GB"/>
        </w:rPr>
        <w:t xml:space="preserve">Q1 of </w:t>
      </w:r>
      <w:r w:rsidRPr="009F18B8">
        <w:rPr>
          <w:rFonts w:ascii="Corbel" w:hAnsi="Corbel"/>
          <w:sz w:val="22"/>
          <w:szCs w:val="22"/>
          <w:lang w:val="en-GB"/>
        </w:rPr>
        <w:t>2022</w:t>
      </w:r>
      <w:r w:rsidR="00C0679E" w:rsidRPr="009F18B8">
        <w:rPr>
          <w:rFonts w:ascii="Corbel" w:hAnsi="Corbel"/>
          <w:sz w:val="22"/>
          <w:szCs w:val="22"/>
          <w:lang w:val="en-GB"/>
        </w:rPr>
        <w:t>.</w:t>
      </w:r>
    </w:p>
    <w:p w14:paraId="19B86441" w14:textId="77777777" w:rsidR="009F18B8" w:rsidRDefault="009F18B8" w:rsidP="00D75BB1">
      <w:pPr>
        <w:jc w:val="both"/>
        <w:rPr>
          <w:rFonts w:ascii="Corbel" w:hAnsi="Corbel"/>
          <w:sz w:val="22"/>
          <w:szCs w:val="22"/>
          <w:lang w:val="en-GB"/>
        </w:rPr>
      </w:pPr>
    </w:p>
    <w:p w14:paraId="35B1DF60" w14:textId="77777777" w:rsidR="009F18B8" w:rsidRDefault="009F18B8" w:rsidP="00D75BB1">
      <w:pPr>
        <w:jc w:val="both"/>
        <w:rPr>
          <w:rFonts w:ascii="Corbel" w:hAnsi="Corbel"/>
          <w:sz w:val="22"/>
          <w:szCs w:val="22"/>
          <w:lang w:val="en-GB"/>
        </w:rPr>
      </w:pPr>
    </w:p>
    <w:p w14:paraId="57D8FCD4" w14:textId="77777777" w:rsidR="009F18B8" w:rsidRDefault="009F18B8" w:rsidP="00D75BB1">
      <w:pPr>
        <w:jc w:val="both"/>
        <w:rPr>
          <w:rFonts w:ascii="Corbel" w:hAnsi="Corbel"/>
          <w:sz w:val="22"/>
          <w:szCs w:val="22"/>
          <w:lang w:val="en-GB"/>
        </w:rPr>
      </w:pPr>
    </w:p>
    <w:p w14:paraId="491E66C8" w14:textId="77777777" w:rsidR="009F18B8" w:rsidRPr="009F18B8" w:rsidRDefault="009F18B8" w:rsidP="00D75BB1">
      <w:pPr>
        <w:jc w:val="both"/>
        <w:rPr>
          <w:rFonts w:ascii="Corbel" w:hAnsi="Corbel"/>
          <w:sz w:val="22"/>
          <w:szCs w:val="22"/>
          <w:lang w:val="en-GB"/>
        </w:rPr>
      </w:pPr>
    </w:p>
    <w:p w14:paraId="7798E7EF" w14:textId="77777777" w:rsidR="00C0679E" w:rsidRPr="009F18B8" w:rsidRDefault="00C0679E" w:rsidP="00D75BB1">
      <w:pPr>
        <w:jc w:val="both"/>
        <w:rPr>
          <w:rFonts w:ascii="Corbel" w:hAnsi="Corbel"/>
          <w:sz w:val="22"/>
          <w:szCs w:val="22"/>
          <w:lang w:val="en-GB"/>
        </w:rPr>
      </w:pPr>
    </w:p>
    <w:tbl>
      <w:tblPr>
        <w:tblStyle w:val="TableGrid1"/>
        <w:tblW w:w="10773" w:type="dxa"/>
        <w:tblInd w:w="-572" w:type="dxa"/>
        <w:tblLook w:val="04A0" w:firstRow="1" w:lastRow="0" w:firstColumn="1" w:lastColumn="0" w:noHBand="0" w:noVBand="1"/>
      </w:tblPr>
      <w:tblGrid>
        <w:gridCol w:w="2487"/>
        <w:gridCol w:w="2616"/>
        <w:gridCol w:w="387"/>
        <w:gridCol w:w="454"/>
        <w:gridCol w:w="414"/>
        <w:gridCol w:w="385"/>
        <w:gridCol w:w="663"/>
        <w:gridCol w:w="3367"/>
      </w:tblGrid>
      <w:tr w:rsidR="001E4C46" w:rsidRPr="001E4C46" w14:paraId="693F88E6" w14:textId="77777777" w:rsidTr="001E4C46">
        <w:trPr>
          <w:tblHeader/>
        </w:trPr>
        <w:tc>
          <w:tcPr>
            <w:tcW w:w="2487" w:type="dxa"/>
            <w:vMerge w:val="restart"/>
            <w:tcBorders>
              <w:top w:val="single" w:sz="4" w:space="0" w:color="auto"/>
              <w:left w:val="single" w:sz="4" w:space="0" w:color="auto"/>
              <w:bottom w:val="single" w:sz="4" w:space="0" w:color="auto"/>
              <w:right w:val="single" w:sz="4" w:space="0" w:color="auto"/>
            </w:tcBorders>
          </w:tcPr>
          <w:p w14:paraId="345426E1" w14:textId="77777777" w:rsidR="001E4C46" w:rsidRPr="001E4C46" w:rsidRDefault="001E4C46" w:rsidP="001E4C46">
            <w:pPr>
              <w:jc w:val="both"/>
              <w:rPr>
                <w:rFonts w:ascii="Calibri" w:eastAsia="Times New Roman" w:hAnsi="Calibri" w:cs="Calibri"/>
                <w:sz w:val="22"/>
                <w:szCs w:val="22"/>
                <w:lang w:val="en-GB" w:eastAsia="en-US"/>
              </w:rPr>
            </w:pPr>
            <w:r w:rsidRPr="001E4C46">
              <w:rPr>
                <w:rFonts w:ascii="Calibri" w:eastAsia="Times New Roman" w:hAnsi="Calibri" w:cs="Calibri"/>
                <w:b/>
                <w:bCs/>
                <w:sz w:val="22"/>
                <w:szCs w:val="22"/>
                <w:lang w:val="en-GB" w:eastAsia="en-US"/>
              </w:rPr>
              <w:lastRenderedPageBreak/>
              <w:t xml:space="preserve">Project Outputs </w:t>
            </w:r>
          </w:p>
        </w:tc>
        <w:tc>
          <w:tcPr>
            <w:tcW w:w="2616" w:type="dxa"/>
            <w:vMerge w:val="restart"/>
            <w:tcBorders>
              <w:top w:val="single" w:sz="4" w:space="0" w:color="auto"/>
              <w:left w:val="single" w:sz="4" w:space="0" w:color="auto"/>
              <w:bottom w:val="single" w:sz="4" w:space="0" w:color="auto"/>
              <w:right w:val="single" w:sz="4" w:space="0" w:color="auto"/>
            </w:tcBorders>
          </w:tcPr>
          <w:p w14:paraId="1B644D99" w14:textId="77777777" w:rsidR="001E4C46" w:rsidRPr="001E4C46" w:rsidRDefault="001E4C46" w:rsidP="001E4C46">
            <w:pPr>
              <w:jc w:val="both"/>
              <w:rPr>
                <w:rFonts w:ascii="Calibri" w:eastAsia="Times New Roman" w:hAnsi="Calibri" w:cs="Calibri"/>
                <w:sz w:val="22"/>
                <w:szCs w:val="22"/>
                <w:lang w:val="en-GB" w:eastAsia="en-US"/>
              </w:rPr>
            </w:pPr>
            <w:r w:rsidRPr="001E4C46">
              <w:rPr>
                <w:rFonts w:ascii="Calibri" w:eastAsia="Times New Roman" w:hAnsi="Calibri" w:cs="Calibri"/>
                <w:b/>
                <w:bCs/>
                <w:sz w:val="22"/>
                <w:szCs w:val="22"/>
                <w:lang w:val="en-GB" w:eastAsia="en-US"/>
              </w:rPr>
              <w:t>PLANNED ACTIVITIES</w:t>
            </w:r>
          </w:p>
        </w:tc>
        <w:tc>
          <w:tcPr>
            <w:tcW w:w="2303" w:type="dxa"/>
            <w:gridSpan w:val="5"/>
            <w:tcBorders>
              <w:top w:val="single" w:sz="4" w:space="0" w:color="auto"/>
              <w:left w:val="single" w:sz="4" w:space="0" w:color="auto"/>
              <w:bottom w:val="single" w:sz="4" w:space="0" w:color="auto"/>
              <w:right w:val="single" w:sz="4" w:space="0" w:color="auto"/>
            </w:tcBorders>
          </w:tcPr>
          <w:p w14:paraId="7201A179" w14:textId="77777777" w:rsidR="001E4C46" w:rsidRPr="001E4C46" w:rsidRDefault="001E4C46" w:rsidP="001E4C46">
            <w:pPr>
              <w:jc w:val="center"/>
              <w:rPr>
                <w:rFonts w:ascii="Calibri" w:eastAsia="Times New Roman" w:hAnsi="Calibri" w:cs="Calibri"/>
                <w:b/>
                <w:bCs/>
                <w:sz w:val="22"/>
                <w:szCs w:val="22"/>
                <w:lang w:val="en-GB" w:eastAsia="en-US"/>
              </w:rPr>
            </w:pPr>
            <w:r w:rsidRPr="001E4C46">
              <w:rPr>
                <w:rFonts w:ascii="Calibri" w:eastAsia="Times New Roman" w:hAnsi="Calibri" w:cs="Calibri"/>
                <w:b/>
                <w:bCs/>
                <w:sz w:val="22"/>
                <w:szCs w:val="22"/>
                <w:lang w:val="en-GB" w:eastAsia="en-US"/>
              </w:rPr>
              <w:t>TIMEFRAME</w:t>
            </w:r>
          </w:p>
        </w:tc>
        <w:tc>
          <w:tcPr>
            <w:tcW w:w="3367" w:type="dxa"/>
            <w:vMerge w:val="restart"/>
            <w:tcBorders>
              <w:top w:val="single" w:sz="4" w:space="0" w:color="auto"/>
              <w:left w:val="single" w:sz="4" w:space="0" w:color="auto"/>
              <w:right w:val="single" w:sz="4" w:space="0" w:color="auto"/>
            </w:tcBorders>
          </w:tcPr>
          <w:p w14:paraId="439C9651" w14:textId="77777777" w:rsidR="001E4C46" w:rsidRPr="001E4C46" w:rsidRDefault="001E4C46" w:rsidP="001E4C46">
            <w:pPr>
              <w:jc w:val="both"/>
              <w:rPr>
                <w:rFonts w:ascii="Calibri" w:eastAsia="Times New Roman" w:hAnsi="Calibri" w:cs="Calibri"/>
                <w:sz w:val="22"/>
                <w:szCs w:val="22"/>
                <w:lang w:val="en-GB" w:eastAsia="en-US"/>
              </w:rPr>
            </w:pPr>
            <w:r w:rsidRPr="001E4C46">
              <w:rPr>
                <w:rFonts w:ascii="Calibri" w:eastAsia="Times New Roman" w:hAnsi="Calibri" w:cs="Calibri"/>
                <w:b/>
                <w:bCs/>
                <w:sz w:val="22"/>
                <w:szCs w:val="22"/>
                <w:lang w:val="en-GB" w:eastAsia="en-US"/>
              </w:rPr>
              <w:t>RESULTS ACHIEVED</w:t>
            </w:r>
          </w:p>
        </w:tc>
      </w:tr>
      <w:tr w:rsidR="001E4C46" w:rsidRPr="001E4C46" w14:paraId="4241EDFF" w14:textId="77777777" w:rsidTr="001E4C46">
        <w:trPr>
          <w:tblHeader/>
        </w:trPr>
        <w:tc>
          <w:tcPr>
            <w:tcW w:w="2487" w:type="dxa"/>
            <w:vMerge/>
            <w:tcBorders>
              <w:top w:val="single" w:sz="4" w:space="0" w:color="auto"/>
              <w:left w:val="single" w:sz="4" w:space="0" w:color="auto"/>
              <w:bottom w:val="single" w:sz="4" w:space="0" w:color="auto"/>
              <w:right w:val="single" w:sz="4" w:space="0" w:color="auto"/>
            </w:tcBorders>
          </w:tcPr>
          <w:p w14:paraId="4573D9D6" w14:textId="77777777" w:rsidR="001E4C46" w:rsidRPr="001E4C46" w:rsidRDefault="001E4C46" w:rsidP="001E4C46">
            <w:pPr>
              <w:jc w:val="both"/>
              <w:rPr>
                <w:rFonts w:ascii="Calibri" w:eastAsia="Times New Roman" w:hAnsi="Calibri" w:cs="Calibri"/>
                <w:b/>
                <w:bCs/>
                <w:sz w:val="22"/>
                <w:szCs w:val="22"/>
                <w:lang w:val="en-GB" w:eastAsia="en-US"/>
              </w:rPr>
            </w:pPr>
          </w:p>
        </w:tc>
        <w:tc>
          <w:tcPr>
            <w:tcW w:w="2616" w:type="dxa"/>
            <w:vMerge/>
            <w:tcBorders>
              <w:top w:val="single" w:sz="4" w:space="0" w:color="auto"/>
              <w:left w:val="single" w:sz="4" w:space="0" w:color="auto"/>
              <w:bottom w:val="single" w:sz="4" w:space="0" w:color="auto"/>
              <w:right w:val="single" w:sz="4" w:space="0" w:color="auto"/>
            </w:tcBorders>
          </w:tcPr>
          <w:p w14:paraId="0878D15E" w14:textId="77777777" w:rsidR="001E4C46" w:rsidRPr="001E4C46" w:rsidRDefault="001E4C46" w:rsidP="001E4C46">
            <w:pPr>
              <w:jc w:val="both"/>
              <w:rPr>
                <w:rFonts w:ascii="Calibri" w:eastAsia="Times New Roman" w:hAnsi="Calibri" w:cs="Calibri"/>
                <w:b/>
                <w:bCs/>
                <w:sz w:val="22"/>
                <w:szCs w:val="22"/>
                <w:lang w:val="en-GB" w:eastAsia="en-US"/>
              </w:rPr>
            </w:pPr>
          </w:p>
        </w:tc>
        <w:tc>
          <w:tcPr>
            <w:tcW w:w="1640" w:type="dxa"/>
            <w:gridSpan w:val="4"/>
            <w:tcBorders>
              <w:top w:val="single" w:sz="4" w:space="0" w:color="auto"/>
              <w:left w:val="single" w:sz="4" w:space="0" w:color="auto"/>
              <w:bottom w:val="single" w:sz="4" w:space="0" w:color="auto"/>
              <w:right w:val="single" w:sz="4" w:space="0" w:color="auto"/>
            </w:tcBorders>
          </w:tcPr>
          <w:p w14:paraId="1E04C8D6" w14:textId="77777777" w:rsidR="001E4C46" w:rsidRPr="001E4C46" w:rsidRDefault="001E4C46" w:rsidP="001E4C46">
            <w:pPr>
              <w:jc w:val="center"/>
              <w:rPr>
                <w:rFonts w:ascii="Calibri" w:eastAsia="Times New Roman" w:hAnsi="Calibri" w:cs="Calibri"/>
                <w:b/>
                <w:bCs/>
                <w:sz w:val="22"/>
                <w:szCs w:val="22"/>
                <w:lang w:val="en-GB" w:eastAsia="en-US"/>
              </w:rPr>
            </w:pPr>
            <w:r w:rsidRPr="001E4C46">
              <w:rPr>
                <w:rFonts w:ascii="Calibri" w:eastAsia="Times New Roman" w:hAnsi="Calibri" w:cs="Calibri"/>
                <w:b/>
                <w:bCs/>
                <w:sz w:val="22"/>
                <w:szCs w:val="22"/>
                <w:lang w:val="en-GB" w:eastAsia="en-US"/>
              </w:rPr>
              <w:t>2021</w:t>
            </w:r>
          </w:p>
        </w:tc>
        <w:tc>
          <w:tcPr>
            <w:tcW w:w="663" w:type="dxa"/>
            <w:tcBorders>
              <w:top w:val="single" w:sz="4" w:space="0" w:color="auto"/>
              <w:left w:val="single" w:sz="4" w:space="0" w:color="auto"/>
              <w:bottom w:val="single" w:sz="4" w:space="0" w:color="auto"/>
              <w:right w:val="single" w:sz="4" w:space="0" w:color="auto"/>
            </w:tcBorders>
          </w:tcPr>
          <w:p w14:paraId="38996A5F" w14:textId="77777777" w:rsidR="001E4C46" w:rsidRPr="001E4C46" w:rsidRDefault="001E4C46" w:rsidP="001E4C46">
            <w:pPr>
              <w:jc w:val="center"/>
              <w:rPr>
                <w:rFonts w:ascii="Calibri" w:eastAsia="Times New Roman" w:hAnsi="Calibri" w:cs="Calibri"/>
                <w:b/>
                <w:bCs/>
                <w:sz w:val="22"/>
                <w:szCs w:val="22"/>
                <w:lang w:val="en-GB" w:eastAsia="en-US"/>
              </w:rPr>
            </w:pPr>
            <w:r w:rsidRPr="001E4C46">
              <w:rPr>
                <w:rFonts w:ascii="Calibri" w:eastAsia="Times New Roman" w:hAnsi="Calibri" w:cs="Calibri"/>
                <w:b/>
                <w:bCs/>
                <w:sz w:val="22"/>
                <w:szCs w:val="22"/>
                <w:lang w:val="en-GB" w:eastAsia="en-US"/>
              </w:rPr>
              <w:t>2022</w:t>
            </w:r>
          </w:p>
        </w:tc>
        <w:tc>
          <w:tcPr>
            <w:tcW w:w="3367" w:type="dxa"/>
            <w:vMerge/>
            <w:tcBorders>
              <w:left w:val="single" w:sz="4" w:space="0" w:color="auto"/>
              <w:right w:val="single" w:sz="4" w:space="0" w:color="auto"/>
            </w:tcBorders>
          </w:tcPr>
          <w:p w14:paraId="709293ED" w14:textId="77777777" w:rsidR="001E4C46" w:rsidRPr="001E4C46" w:rsidRDefault="001E4C46" w:rsidP="001E4C46">
            <w:pPr>
              <w:jc w:val="both"/>
              <w:rPr>
                <w:rFonts w:ascii="Calibri" w:eastAsia="Times New Roman" w:hAnsi="Calibri" w:cs="Calibri"/>
                <w:b/>
                <w:bCs/>
                <w:sz w:val="22"/>
                <w:szCs w:val="22"/>
                <w:lang w:val="en-GB" w:eastAsia="en-US"/>
              </w:rPr>
            </w:pPr>
          </w:p>
        </w:tc>
      </w:tr>
      <w:tr w:rsidR="001E4C46" w:rsidRPr="001E4C46" w14:paraId="6198D45A" w14:textId="77777777" w:rsidTr="001E4C46">
        <w:trPr>
          <w:trHeight w:val="494"/>
          <w:tblHeader/>
        </w:trPr>
        <w:tc>
          <w:tcPr>
            <w:tcW w:w="2487" w:type="dxa"/>
            <w:vMerge/>
            <w:tcBorders>
              <w:top w:val="single" w:sz="4" w:space="0" w:color="auto"/>
              <w:left w:val="single" w:sz="4" w:space="0" w:color="auto"/>
              <w:bottom w:val="single" w:sz="24" w:space="0" w:color="auto"/>
              <w:right w:val="single" w:sz="4" w:space="0" w:color="auto"/>
            </w:tcBorders>
          </w:tcPr>
          <w:p w14:paraId="76543610" w14:textId="77777777" w:rsidR="001E4C46" w:rsidRPr="001E4C46" w:rsidRDefault="001E4C46" w:rsidP="001E4C46">
            <w:pPr>
              <w:jc w:val="both"/>
              <w:rPr>
                <w:rFonts w:ascii="Calibri" w:eastAsia="Times New Roman" w:hAnsi="Calibri" w:cs="Calibri"/>
                <w:sz w:val="22"/>
                <w:szCs w:val="22"/>
                <w:lang w:val="en-GB" w:eastAsia="en-US"/>
              </w:rPr>
            </w:pPr>
          </w:p>
        </w:tc>
        <w:tc>
          <w:tcPr>
            <w:tcW w:w="2616" w:type="dxa"/>
            <w:vMerge/>
            <w:tcBorders>
              <w:top w:val="single" w:sz="4" w:space="0" w:color="auto"/>
              <w:left w:val="single" w:sz="4" w:space="0" w:color="auto"/>
              <w:bottom w:val="single" w:sz="24" w:space="0" w:color="auto"/>
              <w:right w:val="single" w:sz="4" w:space="0" w:color="auto"/>
            </w:tcBorders>
          </w:tcPr>
          <w:p w14:paraId="17AAE945" w14:textId="77777777" w:rsidR="001E4C46" w:rsidRPr="001E4C46" w:rsidRDefault="001E4C46" w:rsidP="001E4C46">
            <w:pPr>
              <w:jc w:val="both"/>
              <w:rPr>
                <w:rFonts w:ascii="Calibri" w:eastAsia="Times New Roman" w:hAnsi="Calibri" w:cs="Calibri"/>
                <w:sz w:val="22"/>
                <w:szCs w:val="22"/>
                <w:lang w:val="en-GB" w:eastAsia="en-US"/>
              </w:rPr>
            </w:pPr>
          </w:p>
        </w:tc>
        <w:tc>
          <w:tcPr>
            <w:tcW w:w="387" w:type="dxa"/>
            <w:tcBorders>
              <w:top w:val="single" w:sz="4" w:space="0" w:color="auto"/>
              <w:left w:val="single" w:sz="4" w:space="0" w:color="auto"/>
              <w:bottom w:val="single" w:sz="24" w:space="0" w:color="auto"/>
              <w:right w:val="single" w:sz="4" w:space="0" w:color="auto"/>
            </w:tcBorders>
          </w:tcPr>
          <w:p w14:paraId="12C3AD72" w14:textId="77777777" w:rsidR="001E4C46" w:rsidRPr="001E4C46" w:rsidRDefault="001E4C46" w:rsidP="001E4C46">
            <w:pPr>
              <w:jc w:val="both"/>
              <w:rPr>
                <w:rFonts w:ascii="Calibri" w:eastAsia="Times New Roman" w:hAnsi="Calibri" w:cs="Calibri"/>
                <w:b/>
                <w:bCs/>
                <w:sz w:val="22"/>
                <w:szCs w:val="22"/>
                <w:lang w:val="en-GB" w:eastAsia="en-US"/>
              </w:rPr>
            </w:pPr>
            <w:r w:rsidRPr="001E4C46">
              <w:rPr>
                <w:rFonts w:ascii="Calibri" w:eastAsia="Times New Roman" w:hAnsi="Calibri" w:cs="Calibri"/>
                <w:b/>
                <w:bCs/>
                <w:sz w:val="22"/>
                <w:szCs w:val="22"/>
                <w:lang w:val="en-GB" w:eastAsia="en-US"/>
              </w:rPr>
              <w:t>Q</w:t>
            </w:r>
          </w:p>
          <w:p w14:paraId="77E1BCC9" w14:textId="77777777" w:rsidR="001E4C46" w:rsidRPr="001E4C46" w:rsidRDefault="001E4C46" w:rsidP="001E4C46">
            <w:pPr>
              <w:jc w:val="both"/>
              <w:rPr>
                <w:rFonts w:ascii="Calibri" w:eastAsia="Times New Roman" w:hAnsi="Calibri" w:cs="Calibri"/>
                <w:b/>
                <w:bCs/>
                <w:sz w:val="22"/>
                <w:szCs w:val="22"/>
                <w:lang w:val="en-GB" w:eastAsia="en-US"/>
              </w:rPr>
            </w:pPr>
            <w:r w:rsidRPr="001E4C46">
              <w:rPr>
                <w:rFonts w:ascii="Calibri" w:eastAsia="Times New Roman" w:hAnsi="Calibri" w:cs="Calibri"/>
                <w:b/>
                <w:bCs/>
                <w:sz w:val="22"/>
                <w:szCs w:val="22"/>
                <w:lang w:val="en-GB" w:eastAsia="en-US"/>
              </w:rPr>
              <w:t>1</w:t>
            </w:r>
          </w:p>
        </w:tc>
        <w:tc>
          <w:tcPr>
            <w:tcW w:w="454" w:type="dxa"/>
            <w:tcBorders>
              <w:top w:val="single" w:sz="4" w:space="0" w:color="auto"/>
              <w:left w:val="single" w:sz="4" w:space="0" w:color="auto"/>
              <w:bottom w:val="single" w:sz="24" w:space="0" w:color="auto"/>
              <w:right w:val="single" w:sz="4" w:space="0" w:color="auto"/>
            </w:tcBorders>
          </w:tcPr>
          <w:p w14:paraId="2A146B13" w14:textId="77777777" w:rsidR="001E4C46" w:rsidRPr="001E4C46" w:rsidRDefault="001E4C46" w:rsidP="001E4C46">
            <w:pPr>
              <w:jc w:val="both"/>
              <w:rPr>
                <w:rFonts w:ascii="Calibri" w:eastAsia="Times New Roman" w:hAnsi="Calibri" w:cs="Calibri"/>
                <w:b/>
                <w:bCs/>
                <w:sz w:val="22"/>
                <w:szCs w:val="22"/>
                <w:lang w:val="en-GB" w:eastAsia="en-US"/>
              </w:rPr>
            </w:pPr>
            <w:r w:rsidRPr="001E4C46">
              <w:rPr>
                <w:rFonts w:ascii="Calibri" w:eastAsia="Times New Roman" w:hAnsi="Calibri" w:cs="Calibri"/>
                <w:b/>
                <w:bCs/>
                <w:sz w:val="22"/>
                <w:szCs w:val="22"/>
                <w:lang w:val="en-GB" w:eastAsia="en-US"/>
              </w:rPr>
              <w:t>Q</w:t>
            </w:r>
          </w:p>
          <w:p w14:paraId="6C5C7BB6" w14:textId="77777777" w:rsidR="001E4C46" w:rsidRPr="001E4C46" w:rsidRDefault="001E4C46" w:rsidP="001E4C46">
            <w:pPr>
              <w:jc w:val="both"/>
              <w:rPr>
                <w:rFonts w:ascii="Calibri" w:eastAsia="Times New Roman" w:hAnsi="Calibri" w:cs="Calibri"/>
                <w:b/>
                <w:bCs/>
                <w:sz w:val="22"/>
                <w:szCs w:val="22"/>
                <w:lang w:val="en-GB" w:eastAsia="en-US"/>
              </w:rPr>
            </w:pPr>
            <w:r w:rsidRPr="001E4C46">
              <w:rPr>
                <w:rFonts w:ascii="Calibri" w:eastAsia="Times New Roman" w:hAnsi="Calibri" w:cs="Calibri"/>
                <w:b/>
                <w:bCs/>
                <w:sz w:val="22"/>
                <w:szCs w:val="22"/>
                <w:lang w:val="en-GB" w:eastAsia="en-US"/>
              </w:rPr>
              <w:t>2</w:t>
            </w:r>
          </w:p>
        </w:tc>
        <w:tc>
          <w:tcPr>
            <w:tcW w:w="414" w:type="dxa"/>
            <w:tcBorders>
              <w:top w:val="single" w:sz="4" w:space="0" w:color="auto"/>
              <w:left w:val="single" w:sz="4" w:space="0" w:color="auto"/>
              <w:bottom w:val="single" w:sz="24" w:space="0" w:color="auto"/>
              <w:right w:val="single" w:sz="4" w:space="0" w:color="auto"/>
            </w:tcBorders>
          </w:tcPr>
          <w:p w14:paraId="3302DDB8" w14:textId="77777777" w:rsidR="001E4C46" w:rsidRPr="001E4C46" w:rsidRDefault="001E4C46" w:rsidP="001E4C46">
            <w:pPr>
              <w:jc w:val="both"/>
              <w:rPr>
                <w:rFonts w:ascii="Calibri" w:eastAsia="Times New Roman" w:hAnsi="Calibri" w:cs="Calibri"/>
                <w:b/>
                <w:bCs/>
                <w:sz w:val="22"/>
                <w:szCs w:val="22"/>
                <w:lang w:val="en-GB" w:eastAsia="en-US"/>
              </w:rPr>
            </w:pPr>
            <w:r w:rsidRPr="001E4C46">
              <w:rPr>
                <w:rFonts w:ascii="Calibri" w:eastAsia="Times New Roman" w:hAnsi="Calibri" w:cs="Calibri"/>
                <w:b/>
                <w:bCs/>
                <w:sz w:val="22"/>
                <w:szCs w:val="22"/>
                <w:lang w:val="en-GB" w:eastAsia="en-US"/>
              </w:rPr>
              <w:t>Q</w:t>
            </w:r>
          </w:p>
          <w:p w14:paraId="1000A534" w14:textId="77777777" w:rsidR="001E4C46" w:rsidRPr="001E4C46" w:rsidRDefault="001E4C46" w:rsidP="001E4C46">
            <w:pPr>
              <w:jc w:val="both"/>
              <w:rPr>
                <w:rFonts w:ascii="Calibri" w:eastAsia="Times New Roman" w:hAnsi="Calibri" w:cs="Calibri"/>
                <w:b/>
                <w:bCs/>
                <w:sz w:val="22"/>
                <w:szCs w:val="22"/>
                <w:lang w:val="en-GB" w:eastAsia="en-US"/>
              </w:rPr>
            </w:pPr>
            <w:r w:rsidRPr="001E4C46">
              <w:rPr>
                <w:rFonts w:ascii="Calibri" w:eastAsia="Times New Roman" w:hAnsi="Calibri" w:cs="Calibri"/>
                <w:b/>
                <w:bCs/>
                <w:sz w:val="22"/>
                <w:szCs w:val="22"/>
                <w:lang w:val="en-GB" w:eastAsia="en-US"/>
              </w:rPr>
              <w:t>3</w:t>
            </w:r>
          </w:p>
        </w:tc>
        <w:tc>
          <w:tcPr>
            <w:tcW w:w="385" w:type="dxa"/>
            <w:tcBorders>
              <w:top w:val="single" w:sz="4" w:space="0" w:color="auto"/>
              <w:left w:val="single" w:sz="4" w:space="0" w:color="auto"/>
              <w:bottom w:val="single" w:sz="24" w:space="0" w:color="auto"/>
              <w:right w:val="single" w:sz="4" w:space="0" w:color="auto"/>
            </w:tcBorders>
          </w:tcPr>
          <w:p w14:paraId="03CE68B4" w14:textId="77777777" w:rsidR="001E4C46" w:rsidRPr="001E4C46" w:rsidRDefault="001E4C46" w:rsidP="001E4C46">
            <w:pPr>
              <w:jc w:val="both"/>
              <w:rPr>
                <w:rFonts w:ascii="Calibri" w:eastAsia="Times New Roman" w:hAnsi="Calibri" w:cs="Calibri"/>
                <w:b/>
                <w:bCs/>
                <w:sz w:val="22"/>
                <w:szCs w:val="22"/>
                <w:lang w:val="en-GB" w:eastAsia="en-US"/>
              </w:rPr>
            </w:pPr>
            <w:r w:rsidRPr="001E4C46">
              <w:rPr>
                <w:rFonts w:ascii="Calibri" w:eastAsia="Times New Roman" w:hAnsi="Calibri" w:cs="Calibri"/>
                <w:b/>
                <w:bCs/>
                <w:sz w:val="22"/>
                <w:szCs w:val="22"/>
                <w:lang w:val="en-GB" w:eastAsia="en-US"/>
              </w:rPr>
              <w:t>Q</w:t>
            </w:r>
          </w:p>
          <w:p w14:paraId="20936655" w14:textId="77777777" w:rsidR="001E4C46" w:rsidRPr="001E4C46" w:rsidRDefault="001E4C46" w:rsidP="001E4C46">
            <w:pPr>
              <w:jc w:val="both"/>
              <w:rPr>
                <w:rFonts w:ascii="Calibri" w:eastAsia="Times New Roman" w:hAnsi="Calibri" w:cs="Calibri"/>
                <w:b/>
                <w:bCs/>
                <w:sz w:val="22"/>
                <w:szCs w:val="22"/>
                <w:lang w:val="en-GB" w:eastAsia="en-US"/>
              </w:rPr>
            </w:pPr>
            <w:r w:rsidRPr="001E4C46">
              <w:rPr>
                <w:rFonts w:ascii="Calibri" w:eastAsia="Times New Roman" w:hAnsi="Calibri" w:cs="Calibri"/>
                <w:b/>
                <w:bCs/>
                <w:sz w:val="22"/>
                <w:szCs w:val="22"/>
                <w:lang w:val="en-GB" w:eastAsia="en-US"/>
              </w:rPr>
              <w:t>4</w:t>
            </w:r>
          </w:p>
        </w:tc>
        <w:tc>
          <w:tcPr>
            <w:tcW w:w="663" w:type="dxa"/>
            <w:tcBorders>
              <w:top w:val="single" w:sz="4" w:space="0" w:color="auto"/>
              <w:left w:val="single" w:sz="4" w:space="0" w:color="auto"/>
              <w:bottom w:val="single" w:sz="24" w:space="0" w:color="auto"/>
              <w:right w:val="single" w:sz="4" w:space="0" w:color="auto"/>
            </w:tcBorders>
          </w:tcPr>
          <w:p w14:paraId="51C99369" w14:textId="77777777" w:rsidR="001E4C46" w:rsidRPr="001E4C46" w:rsidRDefault="001E4C46" w:rsidP="001E4C46">
            <w:pPr>
              <w:jc w:val="center"/>
              <w:rPr>
                <w:rFonts w:ascii="Calibri" w:eastAsia="Times New Roman" w:hAnsi="Calibri" w:cs="Calibri"/>
                <w:b/>
                <w:bCs/>
                <w:sz w:val="22"/>
                <w:szCs w:val="22"/>
                <w:lang w:val="en-GB" w:eastAsia="en-US"/>
              </w:rPr>
            </w:pPr>
            <w:r w:rsidRPr="001E4C46">
              <w:rPr>
                <w:rFonts w:ascii="Calibri" w:eastAsia="Times New Roman" w:hAnsi="Calibri" w:cs="Calibri"/>
                <w:b/>
                <w:bCs/>
                <w:sz w:val="22"/>
                <w:szCs w:val="22"/>
                <w:lang w:val="en-GB" w:eastAsia="en-US"/>
              </w:rPr>
              <w:t>Q</w:t>
            </w:r>
          </w:p>
          <w:p w14:paraId="3D28F664" w14:textId="77777777" w:rsidR="001E4C46" w:rsidRPr="001E4C46" w:rsidRDefault="001E4C46" w:rsidP="001E4C46">
            <w:pPr>
              <w:jc w:val="center"/>
              <w:rPr>
                <w:rFonts w:ascii="Calibri" w:eastAsia="Times New Roman" w:hAnsi="Calibri" w:cs="Calibri"/>
                <w:b/>
                <w:bCs/>
                <w:sz w:val="22"/>
                <w:szCs w:val="22"/>
                <w:lang w:val="en-GB" w:eastAsia="en-US"/>
              </w:rPr>
            </w:pPr>
            <w:r w:rsidRPr="001E4C46">
              <w:rPr>
                <w:rFonts w:ascii="Calibri" w:eastAsia="Times New Roman" w:hAnsi="Calibri" w:cs="Calibri"/>
                <w:b/>
                <w:bCs/>
                <w:sz w:val="22"/>
                <w:szCs w:val="22"/>
                <w:lang w:val="en-GB" w:eastAsia="en-US"/>
              </w:rPr>
              <w:t>1</w:t>
            </w:r>
          </w:p>
        </w:tc>
        <w:tc>
          <w:tcPr>
            <w:tcW w:w="3367" w:type="dxa"/>
            <w:vMerge/>
            <w:tcBorders>
              <w:left w:val="single" w:sz="4" w:space="0" w:color="auto"/>
              <w:bottom w:val="single" w:sz="24" w:space="0" w:color="auto"/>
              <w:right w:val="single" w:sz="4" w:space="0" w:color="auto"/>
            </w:tcBorders>
          </w:tcPr>
          <w:p w14:paraId="67812C99" w14:textId="77777777" w:rsidR="001E4C46" w:rsidRPr="001E4C46" w:rsidRDefault="001E4C46" w:rsidP="001E4C46">
            <w:pPr>
              <w:jc w:val="both"/>
              <w:rPr>
                <w:rFonts w:ascii="Calibri" w:eastAsia="Times New Roman" w:hAnsi="Calibri" w:cs="Calibri"/>
                <w:b/>
                <w:bCs/>
                <w:sz w:val="22"/>
                <w:szCs w:val="22"/>
                <w:lang w:val="en-GB" w:eastAsia="en-US"/>
              </w:rPr>
            </w:pPr>
          </w:p>
        </w:tc>
      </w:tr>
      <w:tr w:rsidR="00A43CAF" w:rsidRPr="001E4C46" w14:paraId="6F332537" w14:textId="77777777" w:rsidTr="00A43CAF">
        <w:trPr>
          <w:trHeight w:val="348"/>
        </w:trPr>
        <w:tc>
          <w:tcPr>
            <w:tcW w:w="10773" w:type="dxa"/>
            <w:gridSpan w:val="8"/>
            <w:tcBorders>
              <w:top w:val="nil"/>
              <w:left w:val="single" w:sz="8" w:space="0" w:color="auto"/>
              <w:bottom w:val="single" w:sz="4" w:space="0" w:color="auto"/>
            </w:tcBorders>
            <w:shd w:val="clear" w:color="auto" w:fill="auto"/>
            <w:vAlign w:val="bottom"/>
          </w:tcPr>
          <w:p w14:paraId="658EC05E" w14:textId="77777777" w:rsidR="00D749FF" w:rsidRDefault="00A43CAF" w:rsidP="00A43CAF">
            <w:pPr>
              <w:jc w:val="both"/>
              <w:rPr>
                <w:rFonts w:ascii="Calibri" w:eastAsia="Times New Roman" w:hAnsi="Calibri" w:cs="Calibri"/>
                <w:b/>
                <w:bCs/>
                <w:color w:val="000000"/>
                <w:sz w:val="22"/>
                <w:szCs w:val="22"/>
                <w:lang w:val="en-GB" w:eastAsia="en-GB"/>
              </w:rPr>
            </w:pPr>
            <w:r w:rsidRPr="00EF1F01">
              <w:rPr>
                <w:rFonts w:ascii="Calibri" w:eastAsia="Times New Roman" w:hAnsi="Calibri" w:cs="Calibri"/>
                <w:b/>
                <w:bCs/>
                <w:color w:val="000000"/>
                <w:sz w:val="22"/>
                <w:szCs w:val="22"/>
                <w:lang w:val="en-GB" w:eastAsia="en-GB"/>
              </w:rPr>
              <w:t>OUTCOME 1</w:t>
            </w:r>
          </w:p>
          <w:p w14:paraId="71373D2F" w14:textId="3076BC34" w:rsidR="00A43CAF" w:rsidRPr="001E4C46" w:rsidRDefault="00A43CAF" w:rsidP="00A43CAF">
            <w:pPr>
              <w:jc w:val="both"/>
              <w:rPr>
                <w:rFonts w:ascii="Calibri" w:eastAsia="Times New Roman" w:hAnsi="Calibri" w:cs="Calibri"/>
                <w:sz w:val="22"/>
                <w:szCs w:val="22"/>
                <w:lang w:val="en-GB" w:eastAsia="en-US"/>
              </w:rPr>
            </w:pPr>
            <w:r w:rsidRPr="00EF1F01">
              <w:rPr>
                <w:rFonts w:ascii="Calibri" w:eastAsia="Times New Roman" w:hAnsi="Calibri" w:cs="Calibri"/>
                <w:b/>
                <w:bCs/>
                <w:color w:val="000000"/>
                <w:sz w:val="22"/>
                <w:szCs w:val="22"/>
                <w:lang w:val="en-GB" w:eastAsia="en-GB"/>
              </w:rPr>
              <w:t>Capacity of the League of Arab States strengthened to manage regional economic integration related processes</w:t>
            </w:r>
          </w:p>
        </w:tc>
      </w:tr>
      <w:tr w:rsidR="00A43CAF" w:rsidRPr="001E4C46" w14:paraId="274EAA23" w14:textId="77777777" w:rsidTr="001E4C46">
        <w:trPr>
          <w:trHeight w:val="1322"/>
        </w:trPr>
        <w:tc>
          <w:tcPr>
            <w:tcW w:w="2487" w:type="dxa"/>
            <w:vMerge w:val="restart"/>
          </w:tcPr>
          <w:p w14:paraId="3F177AAE" w14:textId="77777777" w:rsidR="00A43CAF" w:rsidRPr="001E4C46" w:rsidRDefault="00A43CAF" w:rsidP="00A43CAF">
            <w:pPr>
              <w:jc w:val="both"/>
              <w:rPr>
                <w:rFonts w:ascii="Calibri" w:eastAsia="Times New Roman" w:hAnsi="Calibri" w:cs="Calibri"/>
                <w:b/>
                <w:bCs/>
                <w:sz w:val="22"/>
                <w:szCs w:val="22"/>
                <w:lang w:val="en-GB" w:eastAsia="en-US"/>
              </w:rPr>
            </w:pPr>
            <w:r w:rsidRPr="001E4C46">
              <w:rPr>
                <w:rFonts w:ascii="Calibri" w:eastAsia="Times New Roman" w:hAnsi="Calibri" w:cs="Calibri"/>
                <w:b/>
                <w:bCs/>
                <w:sz w:val="22"/>
                <w:szCs w:val="22"/>
                <w:lang w:val="en-GB" w:eastAsia="en-US"/>
              </w:rPr>
              <w:t>Output 1: Structured and targeted technical support to LAS secretariat and Arab negotiators on trade policy formulation and reform under PAFTA</w:t>
            </w:r>
          </w:p>
        </w:tc>
        <w:tc>
          <w:tcPr>
            <w:tcW w:w="2616" w:type="dxa"/>
          </w:tcPr>
          <w:p w14:paraId="02CA33F7"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1.1.1 Conclude the technical support on clarifications for Arab countries related to the Studies on revenue impacts, redistribution of the Arab Customs Union/ACU (requested by the ACU Committee and LAS).</w:t>
            </w:r>
          </w:p>
        </w:tc>
        <w:tc>
          <w:tcPr>
            <w:tcW w:w="387" w:type="dxa"/>
          </w:tcPr>
          <w:p w14:paraId="22383A89"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54" w:type="dxa"/>
          </w:tcPr>
          <w:p w14:paraId="622A6F43"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10FB57DA"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1565F900"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040E2E53"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2F13D7E8" w14:textId="0FEA0D93"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The project</w:t>
            </w:r>
            <w:r w:rsidR="00286400">
              <w:rPr>
                <w:rFonts w:ascii="Calibri" w:eastAsia="Times New Roman" w:hAnsi="Calibri" w:cs="Calibri"/>
                <w:sz w:val="22"/>
                <w:szCs w:val="22"/>
                <w:lang w:val="en-GB" w:eastAsia="en-US"/>
              </w:rPr>
              <w:t>’s</w:t>
            </w:r>
            <w:r w:rsidRPr="001E4C46">
              <w:rPr>
                <w:rFonts w:ascii="Calibri" w:eastAsia="Times New Roman" w:hAnsi="Calibri" w:cs="Calibri"/>
                <w:sz w:val="22"/>
                <w:szCs w:val="22"/>
                <w:lang w:val="en-GB" w:eastAsia="en-US"/>
              </w:rPr>
              <w:t xml:space="preserve"> technical support resulted in the Draft ACU Agreement and proposed governance framework, to be further negotiated and eventually adopted under the aegis of LAS ECOSOC.</w:t>
            </w:r>
          </w:p>
        </w:tc>
      </w:tr>
      <w:tr w:rsidR="00A43CAF" w:rsidRPr="001E4C46" w14:paraId="7FACD6FD" w14:textId="77777777" w:rsidTr="003B7077">
        <w:trPr>
          <w:trHeight w:val="723"/>
        </w:trPr>
        <w:tc>
          <w:tcPr>
            <w:tcW w:w="2487" w:type="dxa"/>
            <w:vMerge/>
          </w:tcPr>
          <w:p w14:paraId="0FE1C5CD"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636E0F14"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1.1.2</w:t>
            </w:r>
            <w:r w:rsidRPr="001E4C46">
              <w:rPr>
                <w:rFonts w:ascii="Calibri" w:eastAsia="Times New Roman" w:hAnsi="Calibri" w:cs="Calibri"/>
                <w:sz w:val="22"/>
                <w:szCs w:val="22"/>
                <w:lang w:val="en-GB" w:eastAsia="en-US"/>
              </w:rPr>
              <w:tab/>
              <w:t>Complete three studies to be used as technical reference for the design of ACU and formulation of trade policies and negotiations:</w:t>
            </w:r>
          </w:p>
          <w:p w14:paraId="104568A8" w14:textId="77777777" w:rsidR="00A43CAF" w:rsidRPr="001E4C46" w:rsidRDefault="00A43CAF" w:rsidP="00A43CAF">
            <w:pPr>
              <w:jc w:val="both"/>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Study 4.</w:t>
            </w:r>
            <w:r w:rsidRPr="001E4C46">
              <w:rPr>
                <w:rFonts w:ascii="Calibri" w:eastAsia="Times New Roman" w:hAnsi="Calibri" w:cs="Calibri"/>
                <w:sz w:val="22"/>
                <w:szCs w:val="22"/>
                <w:lang w:val="en-GB" w:eastAsia="en-US"/>
              </w:rPr>
              <w:tab/>
              <w:t>Protection of Infant Domestic Industries within ACU</w:t>
            </w:r>
          </w:p>
          <w:p w14:paraId="51CCA835" w14:textId="77777777" w:rsidR="00A43CAF" w:rsidRPr="001E4C46" w:rsidRDefault="00A43CAF" w:rsidP="00A43CAF">
            <w:pPr>
              <w:jc w:val="both"/>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Study 5.</w:t>
            </w:r>
            <w:r w:rsidRPr="001E4C46">
              <w:rPr>
                <w:rFonts w:ascii="Calibri" w:eastAsia="Times New Roman" w:hAnsi="Calibri" w:cs="Calibri"/>
                <w:sz w:val="22"/>
                <w:szCs w:val="22"/>
                <w:lang w:val="en-GB" w:eastAsia="en-US"/>
              </w:rPr>
              <w:tab/>
              <w:t>Review of support to Infant Domestic Industries within ACU</w:t>
            </w:r>
          </w:p>
          <w:p w14:paraId="335DD56B" w14:textId="77777777" w:rsidR="00A43CAF" w:rsidRPr="001E4C46" w:rsidRDefault="00A43CAF" w:rsidP="00A43CAF">
            <w:pPr>
              <w:jc w:val="both"/>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Study 6.</w:t>
            </w:r>
            <w:r w:rsidRPr="001E4C46">
              <w:rPr>
                <w:rFonts w:ascii="Calibri" w:eastAsia="Times New Roman" w:hAnsi="Calibri" w:cs="Calibri"/>
                <w:sz w:val="22"/>
                <w:szCs w:val="22"/>
                <w:lang w:val="en-GB" w:eastAsia="en-US"/>
              </w:rPr>
              <w:tab/>
              <w:t>Review of Flexibilities in the accession to ACU.</w:t>
            </w:r>
          </w:p>
        </w:tc>
        <w:tc>
          <w:tcPr>
            <w:tcW w:w="387" w:type="dxa"/>
          </w:tcPr>
          <w:p w14:paraId="31D12D62"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54" w:type="dxa"/>
          </w:tcPr>
          <w:p w14:paraId="40C6D554"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26F2D15B"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4C5661BB"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28F01C53"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1E7B6A61" w14:textId="09B7F6E2"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The remaining three studies (</w:t>
            </w:r>
            <w:r w:rsidR="00286400">
              <w:rPr>
                <w:rFonts w:ascii="Calibri" w:eastAsia="Times New Roman" w:hAnsi="Calibri" w:cs="Calibri"/>
                <w:sz w:val="22"/>
                <w:szCs w:val="22"/>
                <w:lang w:val="en-GB" w:eastAsia="en-US"/>
              </w:rPr>
              <w:t xml:space="preserve">out of a </w:t>
            </w:r>
            <w:r w:rsidRPr="001E4C46">
              <w:rPr>
                <w:rFonts w:ascii="Calibri" w:eastAsia="Times New Roman" w:hAnsi="Calibri" w:cs="Calibri"/>
                <w:sz w:val="22"/>
                <w:szCs w:val="22"/>
                <w:lang w:val="en-GB" w:eastAsia="en-US"/>
              </w:rPr>
              <w:t xml:space="preserve">total </w:t>
            </w:r>
            <w:r w:rsidR="00286400">
              <w:rPr>
                <w:rFonts w:ascii="Calibri" w:eastAsia="Times New Roman" w:hAnsi="Calibri" w:cs="Calibri"/>
                <w:sz w:val="22"/>
                <w:szCs w:val="22"/>
                <w:lang w:val="en-GB" w:eastAsia="en-US"/>
              </w:rPr>
              <w:t xml:space="preserve">of </w:t>
            </w:r>
            <w:r w:rsidRPr="001E4C46">
              <w:rPr>
                <w:rFonts w:ascii="Calibri" w:eastAsia="Times New Roman" w:hAnsi="Calibri" w:cs="Calibri"/>
                <w:sz w:val="22"/>
                <w:szCs w:val="22"/>
                <w:lang w:val="en-GB" w:eastAsia="en-US"/>
              </w:rPr>
              <w:t>six</w:t>
            </w:r>
            <w:r w:rsidR="00286400">
              <w:rPr>
                <w:rFonts w:ascii="Calibri" w:eastAsia="Times New Roman" w:hAnsi="Calibri" w:cs="Calibri"/>
                <w:sz w:val="22"/>
                <w:szCs w:val="22"/>
                <w:lang w:val="en-GB" w:eastAsia="en-US"/>
              </w:rPr>
              <w:t xml:space="preserve">, with </w:t>
            </w:r>
            <w:r w:rsidRPr="001E4C46">
              <w:rPr>
                <w:rFonts w:ascii="Calibri" w:eastAsia="Times New Roman" w:hAnsi="Calibri" w:cs="Calibri"/>
                <w:sz w:val="22"/>
                <w:szCs w:val="22"/>
                <w:lang w:val="en-GB" w:eastAsia="en-US"/>
              </w:rPr>
              <w:t xml:space="preserve">the initial three delivered in 2020) were completed as per the schedule. </w:t>
            </w:r>
          </w:p>
        </w:tc>
      </w:tr>
      <w:tr w:rsidR="00A43CAF" w:rsidRPr="001E4C46" w14:paraId="091F3FEA" w14:textId="77777777" w:rsidTr="001E4C46">
        <w:trPr>
          <w:trHeight w:val="754"/>
        </w:trPr>
        <w:tc>
          <w:tcPr>
            <w:tcW w:w="2487" w:type="dxa"/>
            <w:vMerge/>
          </w:tcPr>
          <w:p w14:paraId="24C09A41"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0BEA6A49"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1.1.3</w:t>
            </w:r>
            <w:r w:rsidRPr="001E4C46">
              <w:rPr>
                <w:rFonts w:ascii="Calibri" w:eastAsia="Times New Roman" w:hAnsi="Calibri" w:cs="Calibri"/>
                <w:sz w:val="22"/>
                <w:szCs w:val="22"/>
                <w:lang w:val="en-GB" w:eastAsia="en-US"/>
              </w:rPr>
              <w:tab/>
              <w:t xml:space="preserve"> Hold a regional workshop to discuss findings of the ACU Studies 4, 5 and 6.</w:t>
            </w:r>
          </w:p>
        </w:tc>
        <w:tc>
          <w:tcPr>
            <w:tcW w:w="387" w:type="dxa"/>
          </w:tcPr>
          <w:p w14:paraId="3AFC2E9D" w14:textId="77777777" w:rsidR="00A43CAF" w:rsidRPr="001E4C46" w:rsidRDefault="00A43CAF" w:rsidP="00A43CAF">
            <w:pPr>
              <w:rPr>
                <w:rFonts w:ascii="Calibri" w:eastAsia="Times New Roman" w:hAnsi="Calibri" w:cs="Calibri"/>
                <w:sz w:val="22"/>
                <w:szCs w:val="22"/>
                <w:lang w:val="en-GB" w:eastAsia="en-US"/>
              </w:rPr>
            </w:pPr>
          </w:p>
        </w:tc>
        <w:tc>
          <w:tcPr>
            <w:tcW w:w="454" w:type="dxa"/>
          </w:tcPr>
          <w:p w14:paraId="77950A6F"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2BBE3684"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3B3E38E6"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5D19AC51"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3CF47452"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The three studies were presented to LAS member states through webinars in Q2 2021.</w:t>
            </w:r>
          </w:p>
        </w:tc>
      </w:tr>
      <w:tr w:rsidR="00A43CAF" w:rsidRPr="001E4C46" w14:paraId="6D2A8131" w14:textId="77777777" w:rsidTr="001E4C46">
        <w:tc>
          <w:tcPr>
            <w:tcW w:w="2487" w:type="dxa"/>
            <w:vMerge/>
          </w:tcPr>
          <w:p w14:paraId="0EE3AA7C"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4F100C8C"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1.1.4</w:t>
            </w:r>
            <w:r w:rsidRPr="001E4C46">
              <w:rPr>
                <w:rFonts w:ascii="Calibri" w:eastAsia="Times New Roman" w:hAnsi="Calibri" w:cs="Calibri"/>
                <w:sz w:val="22"/>
                <w:szCs w:val="22"/>
                <w:lang w:val="en-GB" w:eastAsia="en-US"/>
              </w:rPr>
              <w:tab/>
              <w:t>Hold final consultations with LAS on newly developed technical components, considering mandates of the 2019 Socioeconomic Summit in areas like E-Commerce, construction services.</w:t>
            </w:r>
          </w:p>
        </w:tc>
        <w:tc>
          <w:tcPr>
            <w:tcW w:w="387" w:type="dxa"/>
          </w:tcPr>
          <w:p w14:paraId="35BE24DC" w14:textId="77777777" w:rsidR="00A43CAF" w:rsidRPr="001E4C46" w:rsidRDefault="00A43CAF" w:rsidP="00A43CAF">
            <w:pPr>
              <w:rPr>
                <w:rFonts w:ascii="Calibri" w:eastAsia="Times New Roman" w:hAnsi="Calibri" w:cs="Calibri"/>
                <w:sz w:val="22"/>
                <w:szCs w:val="22"/>
                <w:lang w:val="en-GB" w:eastAsia="en-US"/>
              </w:rPr>
            </w:pPr>
          </w:p>
        </w:tc>
        <w:tc>
          <w:tcPr>
            <w:tcW w:w="454" w:type="dxa"/>
          </w:tcPr>
          <w:p w14:paraId="5A98E922"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373495B1"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775F870E"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26CD2989"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27BF3394" w14:textId="7186F678"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Background analysis on e-Commerce, Green Economy, and the Arab Trade Repository to monitor PAFTA implementation progress were finalized and presented to LAS ECOSOC in 2021</w:t>
            </w:r>
            <w:r w:rsidR="00286400">
              <w:rPr>
                <w:rFonts w:ascii="Calibri" w:eastAsia="Times New Roman" w:hAnsi="Calibri" w:cs="Calibri"/>
                <w:sz w:val="22"/>
                <w:szCs w:val="22"/>
                <w:lang w:val="en-GB" w:eastAsia="en-US"/>
              </w:rPr>
              <w:t>.</w:t>
            </w:r>
          </w:p>
        </w:tc>
      </w:tr>
      <w:tr w:rsidR="00A43CAF" w:rsidRPr="001E4C46" w14:paraId="10E071EE" w14:textId="77777777" w:rsidTr="001E4C46">
        <w:tc>
          <w:tcPr>
            <w:tcW w:w="2487" w:type="dxa"/>
            <w:vMerge/>
          </w:tcPr>
          <w:p w14:paraId="12AB1922"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48EFE938"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 xml:space="preserve">1.1.5 </w:t>
            </w:r>
            <w:r w:rsidRPr="001E4C46">
              <w:rPr>
                <w:rFonts w:ascii="Calibri" w:eastAsia="Times New Roman" w:hAnsi="Calibri" w:cs="Calibri"/>
                <w:sz w:val="22"/>
                <w:szCs w:val="22"/>
                <w:lang w:val="en-GB" w:eastAsia="en-US"/>
              </w:rPr>
              <w:tab/>
              <w:t>Finalize the Technical Guide on the cumulated rules of origin to improve flows of commodities among Member States within and beyond PAFTA</w:t>
            </w:r>
          </w:p>
        </w:tc>
        <w:tc>
          <w:tcPr>
            <w:tcW w:w="387" w:type="dxa"/>
          </w:tcPr>
          <w:p w14:paraId="36D2E834"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54" w:type="dxa"/>
          </w:tcPr>
          <w:p w14:paraId="5422EB15"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5AA15673"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7A7E611A"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5D600ECA"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49244E66"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 xml:space="preserve">Las member states adopted the proposed guidelines on the cumulation of rules of origin in facilitating the movement of goods and enabling more complementarity among the </w:t>
            </w:r>
            <w:r w:rsidRPr="001E4C46">
              <w:rPr>
                <w:rFonts w:ascii="Calibri" w:eastAsia="Times New Roman" w:hAnsi="Calibri" w:cs="Calibri"/>
                <w:sz w:val="22"/>
                <w:szCs w:val="22"/>
                <w:lang w:val="en-GB" w:eastAsia="en-US"/>
              </w:rPr>
              <w:lastRenderedPageBreak/>
              <w:t>production platforms of Arab countries.</w:t>
            </w:r>
          </w:p>
        </w:tc>
      </w:tr>
      <w:tr w:rsidR="00A43CAF" w:rsidRPr="001E4C46" w14:paraId="4FA54F2F" w14:textId="77777777" w:rsidTr="001E4C46">
        <w:trPr>
          <w:trHeight w:val="1014"/>
        </w:trPr>
        <w:tc>
          <w:tcPr>
            <w:tcW w:w="2487" w:type="dxa"/>
            <w:vMerge/>
          </w:tcPr>
          <w:p w14:paraId="0D7F66E5" w14:textId="77777777" w:rsidR="00A43CAF" w:rsidRPr="001E4C46" w:rsidRDefault="00A43CAF" w:rsidP="00A43CAF">
            <w:pPr>
              <w:rPr>
                <w:rFonts w:ascii="Calibri" w:eastAsia="Times New Roman" w:hAnsi="Calibri" w:cs="Calibri"/>
                <w:b/>
                <w:bCs/>
                <w:i/>
                <w:iCs/>
                <w:sz w:val="22"/>
                <w:szCs w:val="22"/>
                <w:lang w:val="en-GB" w:eastAsia="en-US"/>
              </w:rPr>
            </w:pPr>
          </w:p>
        </w:tc>
        <w:tc>
          <w:tcPr>
            <w:tcW w:w="2616" w:type="dxa"/>
          </w:tcPr>
          <w:p w14:paraId="6B9B11D7"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1.1.6</w:t>
            </w:r>
            <w:r w:rsidRPr="001E4C46">
              <w:rPr>
                <w:rFonts w:ascii="Calibri" w:eastAsia="Times New Roman" w:hAnsi="Calibri" w:cs="Calibri"/>
                <w:sz w:val="22"/>
                <w:szCs w:val="22"/>
                <w:lang w:val="en-GB" w:eastAsia="en-US"/>
              </w:rPr>
              <w:tab/>
              <w:t xml:space="preserve"> Hold a regional workshop on the determination of the cumulated origin of goods reflected in the Technical Guide.</w:t>
            </w:r>
          </w:p>
        </w:tc>
        <w:tc>
          <w:tcPr>
            <w:tcW w:w="387" w:type="dxa"/>
          </w:tcPr>
          <w:p w14:paraId="37085D37" w14:textId="77777777" w:rsidR="00A43CAF" w:rsidRPr="001E4C46" w:rsidRDefault="00A43CAF" w:rsidP="00A43CAF">
            <w:pPr>
              <w:rPr>
                <w:rFonts w:ascii="Calibri" w:eastAsia="Times New Roman" w:hAnsi="Calibri" w:cs="Calibri"/>
                <w:sz w:val="22"/>
                <w:szCs w:val="22"/>
                <w:lang w:val="en-GB" w:eastAsia="en-US"/>
              </w:rPr>
            </w:pPr>
          </w:p>
        </w:tc>
        <w:tc>
          <w:tcPr>
            <w:tcW w:w="454" w:type="dxa"/>
          </w:tcPr>
          <w:p w14:paraId="56ECE769"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59769E94"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36AE8223"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5FC3418B"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60B6609D"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A related workshop was held in Q2 2021, ahead of the adoption of the guidelines.</w:t>
            </w:r>
          </w:p>
        </w:tc>
      </w:tr>
      <w:tr w:rsidR="00A43CAF" w:rsidRPr="001E4C46" w14:paraId="6E857EE9" w14:textId="77777777" w:rsidTr="001E4C46">
        <w:trPr>
          <w:trHeight w:val="1908"/>
        </w:trPr>
        <w:tc>
          <w:tcPr>
            <w:tcW w:w="2487" w:type="dxa"/>
            <w:vMerge/>
          </w:tcPr>
          <w:p w14:paraId="13DBAA59"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6D22DDDD"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1.2 Collaborate with UN agencies, regional commissions, international and regional organizations (</w:t>
            </w:r>
            <w:proofErr w:type="gramStart"/>
            <w:r w:rsidRPr="001E4C46">
              <w:rPr>
                <w:rFonts w:ascii="Calibri" w:eastAsia="Times New Roman" w:hAnsi="Calibri" w:cs="Calibri"/>
                <w:sz w:val="22"/>
                <w:szCs w:val="22"/>
                <w:lang w:val="en-GB" w:eastAsia="en-US"/>
              </w:rPr>
              <w:t>e.g.</w:t>
            </w:r>
            <w:proofErr w:type="gramEnd"/>
            <w:r w:rsidRPr="001E4C46">
              <w:rPr>
                <w:rFonts w:ascii="Calibri" w:eastAsia="Times New Roman" w:hAnsi="Calibri" w:cs="Calibri"/>
                <w:sz w:val="22"/>
                <w:szCs w:val="22"/>
                <w:lang w:val="en-GB" w:eastAsia="en-US"/>
              </w:rPr>
              <w:t xml:space="preserve"> GCC CU Secretariat and European Commission) to mobilize international expertise in support of the LAS Secretariat’s efforts to deepen Arab economic integration.</w:t>
            </w:r>
          </w:p>
        </w:tc>
        <w:tc>
          <w:tcPr>
            <w:tcW w:w="387" w:type="dxa"/>
          </w:tcPr>
          <w:p w14:paraId="6DA656B3"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54" w:type="dxa"/>
          </w:tcPr>
          <w:p w14:paraId="21591521"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718C4F74"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2ED10562"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23C85E57"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58D7EBFF" w14:textId="255375AE"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While collaboration with other international agencies has been tapped from the onset of the projec</w:t>
            </w:r>
            <w:r w:rsidR="00286400">
              <w:rPr>
                <w:rFonts w:ascii="Calibri" w:eastAsia="Times New Roman" w:hAnsi="Calibri" w:cs="Calibri"/>
                <w:sz w:val="22"/>
                <w:szCs w:val="22"/>
                <w:lang w:val="en-GB" w:eastAsia="en-US"/>
              </w:rPr>
              <w:t>t, n</w:t>
            </w:r>
            <w:r w:rsidRPr="001E4C46">
              <w:rPr>
                <w:rFonts w:ascii="Calibri" w:eastAsia="Times New Roman" w:hAnsi="Calibri" w:cs="Calibri"/>
                <w:sz w:val="22"/>
                <w:szCs w:val="22"/>
                <w:lang w:val="en-GB" w:eastAsia="en-US"/>
              </w:rPr>
              <w:t xml:space="preserve">o specific engagement can be reported in its last years, besides participation of thematic experts in the webinars. </w:t>
            </w:r>
          </w:p>
        </w:tc>
      </w:tr>
      <w:tr w:rsidR="00A43CAF" w:rsidRPr="001E4C46" w14:paraId="53FFE4C0" w14:textId="77777777" w:rsidTr="001E4C46">
        <w:trPr>
          <w:trHeight w:val="926"/>
        </w:trPr>
        <w:tc>
          <w:tcPr>
            <w:tcW w:w="2487" w:type="dxa"/>
            <w:vMerge/>
          </w:tcPr>
          <w:p w14:paraId="1262925B" w14:textId="77777777" w:rsidR="00A43CAF" w:rsidRPr="001E4C46" w:rsidRDefault="00A43CAF" w:rsidP="00A43CAF">
            <w:pPr>
              <w:jc w:val="both"/>
              <w:rPr>
                <w:rFonts w:ascii="Calibri" w:eastAsia="Times New Roman" w:hAnsi="Calibri" w:cs="Calibri"/>
                <w:b/>
                <w:bCs/>
                <w:i/>
                <w:iCs/>
                <w:sz w:val="22"/>
                <w:szCs w:val="22"/>
                <w:lang w:eastAsia="en-US"/>
              </w:rPr>
            </w:pPr>
          </w:p>
        </w:tc>
        <w:tc>
          <w:tcPr>
            <w:tcW w:w="2616" w:type="dxa"/>
          </w:tcPr>
          <w:p w14:paraId="6A955B23"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1.3 Hold consultations on the exit strategy with beneficiaries for future works (with LAS, Jordan, and relevant countries)</w:t>
            </w:r>
          </w:p>
        </w:tc>
        <w:tc>
          <w:tcPr>
            <w:tcW w:w="387" w:type="dxa"/>
          </w:tcPr>
          <w:p w14:paraId="7ED642C0"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54" w:type="dxa"/>
          </w:tcPr>
          <w:p w14:paraId="7CCBB54F"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2DF797C1"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0E858AED"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342F6856"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19C2749A"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 xml:space="preserve">LAS and member states were informed about the ending of the project and all technical studies and other materials were transferred to its staff. </w:t>
            </w:r>
          </w:p>
        </w:tc>
      </w:tr>
      <w:tr w:rsidR="00A43CAF" w:rsidRPr="001E4C46" w14:paraId="134A98BA" w14:textId="77777777" w:rsidTr="001E4C46">
        <w:trPr>
          <w:trHeight w:val="1185"/>
        </w:trPr>
        <w:tc>
          <w:tcPr>
            <w:tcW w:w="2487" w:type="dxa"/>
            <w:vMerge w:val="restart"/>
          </w:tcPr>
          <w:p w14:paraId="1AF78B6B" w14:textId="77777777" w:rsidR="00A43CAF" w:rsidRPr="001E4C46" w:rsidRDefault="00A43CAF" w:rsidP="00A43CAF">
            <w:pPr>
              <w:jc w:val="both"/>
              <w:rPr>
                <w:rFonts w:ascii="Calibri" w:eastAsia="Times New Roman" w:hAnsi="Calibri" w:cs="Calibri"/>
                <w:b/>
                <w:bCs/>
                <w:sz w:val="22"/>
                <w:szCs w:val="22"/>
                <w:lang w:val="en-GB" w:eastAsia="en-US"/>
              </w:rPr>
            </w:pPr>
            <w:r w:rsidRPr="001E4C46">
              <w:rPr>
                <w:rFonts w:ascii="Calibri" w:eastAsia="Times New Roman" w:hAnsi="Calibri" w:cs="Calibri"/>
                <w:b/>
                <w:bCs/>
                <w:sz w:val="22"/>
                <w:szCs w:val="22"/>
                <w:lang w:val="en-GB" w:eastAsia="en-US"/>
              </w:rPr>
              <w:t>Output 2: Provision of support for the organizational capacity of LAS secretariat to facilitate the regional economic integration agenda</w:t>
            </w:r>
          </w:p>
          <w:p w14:paraId="25AC5067" w14:textId="77777777" w:rsidR="00A43CAF" w:rsidRPr="001E4C46" w:rsidRDefault="00A43CAF" w:rsidP="00A43CAF">
            <w:pPr>
              <w:jc w:val="both"/>
              <w:rPr>
                <w:rFonts w:ascii="Calibri" w:eastAsia="Times New Roman" w:hAnsi="Calibri" w:cs="Calibri"/>
                <w:b/>
                <w:bCs/>
                <w:sz w:val="22"/>
                <w:szCs w:val="22"/>
                <w:lang w:val="en-GB" w:eastAsia="en-US"/>
              </w:rPr>
            </w:pPr>
          </w:p>
          <w:p w14:paraId="5E9552A9" w14:textId="77777777" w:rsidR="00A43CAF" w:rsidRPr="001E4C46" w:rsidRDefault="00A43CAF" w:rsidP="00A43CAF">
            <w:pPr>
              <w:jc w:val="both"/>
              <w:rPr>
                <w:rFonts w:ascii="Calibri" w:eastAsia="Times New Roman" w:hAnsi="Calibri" w:cs="Calibri"/>
                <w:b/>
                <w:bCs/>
                <w:sz w:val="22"/>
                <w:szCs w:val="22"/>
                <w:lang w:val="en-GB" w:eastAsia="en-US"/>
              </w:rPr>
            </w:pPr>
          </w:p>
        </w:tc>
        <w:tc>
          <w:tcPr>
            <w:tcW w:w="2616" w:type="dxa"/>
          </w:tcPr>
          <w:p w14:paraId="21911608"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2.1 Complete the upgrading of the Arab Economic Integration Website to render it more comprehensive and interactive for the new needs of Arab countries.</w:t>
            </w:r>
          </w:p>
        </w:tc>
        <w:tc>
          <w:tcPr>
            <w:tcW w:w="387" w:type="dxa"/>
          </w:tcPr>
          <w:p w14:paraId="5606F551"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54" w:type="dxa"/>
          </w:tcPr>
          <w:p w14:paraId="63FDF80B"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2121B31C"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24E10F57"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69165219"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18586C97"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The website could not be deployed due to a new LAS regulation limiting the hosting and development of online platforms for security reasons.</w:t>
            </w:r>
          </w:p>
        </w:tc>
      </w:tr>
      <w:tr w:rsidR="00A43CAF" w:rsidRPr="001E4C46" w14:paraId="76625BD4" w14:textId="77777777" w:rsidTr="001E4C46">
        <w:trPr>
          <w:trHeight w:val="1530"/>
        </w:trPr>
        <w:tc>
          <w:tcPr>
            <w:tcW w:w="2487" w:type="dxa"/>
            <w:vMerge/>
          </w:tcPr>
          <w:p w14:paraId="2FD1D011"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1F27F45E"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2.2 Uphold wrap-up discussion on the assistance to Arab negotiators and policy makers of Member States at LAS technical committees on technical features of PAFTA upgrading in trade facilitation</w:t>
            </w:r>
          </w:p>
        </w:tc>
        <w:tc>
          <w:tcPr>
            <w:tcW w:w="387" w:type="dxa"/>
          </w:tcPr>
          <w:p w14:paraId="5AD68BF8"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54" w:type="dxa"/>
          </w:tcPr>
          <w:p w14:paraId="73C4906B"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56E54537"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349D41FF"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0FF9A683"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77759F04"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Member states adopted the governance mechanisms for the draft Protocol on Trade Facilitation and related institutional arrangements (one of the four areas of the PAFTA upgrading)</w:t>
            </w:r>
          </w:p>
        </w:tc>
      </w:tr>
      <w:tr w:rsidR="00D749FF" w:rsidRPr="001E4C46" w14:paraId="72B4CE19" w14:textId="77777777" w:rsidTr="006F357A">
        <w:trPr>
          <w:trHeight w:val="476"/>
        </w:trPr>
        <w:tc>
          <w:tcPr>
            <w:tcW w:w="10773" w:type="dxa"/>
            <w:gridSpan w:val="8"/>
          </w:tcPr>
          <w:p w14:paraId="1D681E4F" w14:textId="77777777" w:rsidR="00D749FF" w:rsidRDefault="00D749FF" w:rsidP="006F357A">
            <w:pPr>
              <w:rPr>
                <w:rFonts w:ascii="Calibri" w:eastAsia="Times New Roman" w:hAnsi="Calibri" w:cs="Calibri"/>
                <w:b/>
                <w:bCs/>
                <w:sz w:val="22"/>
                <w:szCs w:val="22"/>
                <w:lang w:val="en-GB" w:eastAsia="en-US"/>
              </w:rPr>
            </w:pPr>
            <w:r w:rsidRPr="00D749FF">
              <w:rPr>
                <w:rFonts w:ascii="Calibri" w:eastAsia="Times New Roman" w:hAnsi="Calibri" w:cs="Calibri"/>
                <w:b/>
                <w:bCs/>
                <w:sz w:val="22"/>
                <w:szCs w:val="22"/>
                <w:lang w:val="en-GB" w:eastAsia="en-US"/>
              </w:rPr>
              <w:t xml:space="preserve">Outcome </w:t>
            </w:r>
            <w:r>
              <w:rPr>
                <w:rFonts w:ascii="Calibri" w:eastAsia="Times New Roman" w:hAnsi="Calibri" w:cs="Calibri"/>
                <w:b/>
                <w:bCs/>
                <w:sz w:val="22"/>
                <w:szCs w:val="22"/>
                <w:lang w:val="en-GB" w:eastAsia="en-US"/>
              </w:rPr>
              <w:t>2</w:t>
            </w:r>
          </w:p>
          <w:p w14:paraId="3E5F8D19" w14:textId="77777777" w:rsidR="00D749FF" w:rsidRPr="001E4C46" w:rsidRDefault="00D749FF" w:rsidP="006F357A">
            <w:pPr>
              <w:rPr>
                <w:rFonts w:ascii="Calibri" w:eastAsia="Times New Roman" w:hAnsi="Calibri" w:cs="Calibri"/>
                <w:sz w:val="22"/>
                <w:szCs w:val="22"/>
                <w:lang w:val="en-GB" w:eastAsia="en-US"/>
              </w:rPr>
            </w:pPr>
            <w:r w:rsidRPr="00D749FF">
              <w:rPr>
                <w:rFonts w:ascii="Calibri" w:eastAsia="Times New Roman" w:hAnsi="Calibri" w:cs="Calibri"/>
                <w:b/>
                <w:bCs/>
                <w:sz w:val="22"/>
                <w:szCs w:val="22"/>
                <w:lang w:val="en-GB" w:eastAsia="en-US"/>
              </w:rPr>
              <w:t>Member states are capacitated and technically prepared for regional economic integration</w:t>
            </w:r>
          </w:p>
        </w:tc>
      </w:tr>
      <w:tr w:rsidR="00A43CAF" w:rsidRPr="001E4C46" w14:paraId="04FF3668" w14:textId="77777777" w:rsidTr="000216F6">
        <w:trPr>
          <w:trHeight w:val="582"/>
        </w:trPr>
        <w:tc>
          <w:tcPr>
            <w:tcW w:w="2487" w:type="dxa"/>
            <w:vMerge w:val="restart"/>
          </w:tcPr>
          <w:p w14:paraId="3669CC20" w14:textId="77777777" w:rsidR="00A43CAF" w:rsidRPr="001E4C46" w:rsidRDefault="00A43CAF" w:rsidP="00A43CAF">
            <w:pPr>
              <w:jc w:val="both"/>
              <w:rPr>
                <w:rFonts w:ascii="Calibri" w:eastAsia="Times New Roman" w:hAnsi="Calibri" w:cs="Calibri"/>
                <w:b/>
                <w:bCs/>
                <w:sz w:val="22"/>
                <w:szCs w:val="22"/>
                <w:lang w:val="en-GB" w:eastAsia="en-US"/>
              </w:rPr>
            </w:pPr>
            <w:r w:rsidRPr="001E4C46">
              <w:rPr>
                <w:rFonts w:ascii="Calibri" w:eastAsia="Times New Roman" w:hAnsi="Calibri" w:cs="Calibri"/>
                <w:b/>
                <w:bCs/>
                <w:sz w:val="22"/>
                <w:szCs w:val="22"/>
                <w:lang w:val="en-GB" w:eastAsia="en-US"/>
              </w:rPr>
              <w:t xml:space="preserve">Output 3: Provision of country-based technical </w:t>
            </w:r>
            <w:r w:rsidRPr="001E4C46">
              <w:rPr>
                <w:rFonts w:ascii="Calibri" w:eastAsia="Times New Roman" w:hAnsi="Calibri" w:cs="Calibri"/>
                <w:b/>
                <w:bCs/>
                <w:sz w:val="22"/>
                <w:szCs w:val="22"/>
                <w:lang w:val="en-GB" w:eastAsia="en-US"/>
              </w:rPr>
              <w:lastRenderedPageBreak/>
              <w:t>assistance to policymakers for their activities related to trade policy reform and coherence</w:t>
            </w:r>
          </w:p>
        </w:tc>
        <w:tc>
          <w:tcPr>
            <w:tcW w:w="2616" w:type="dxa"/>
          </w:tcPr>
          <w:p w14:paraId="13C8C810"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lastRenderedPageBreak/>
              <w:t xml:space="preserve">3.1 Wrap-up on the assistance to Member </w:t>
            </w:r>
            <w:r w:rsidRPr="001E4C46">
              <w:rPr>
                <w:rFonts w:ascii="Calibri" w:eastAsia="Times New Roman" w:hAnsi="Calibri" w:cs="Calibri"/>
                <w:sz w:val="22"/>
                <w:szCs w:val="22"/>
                <w:lang w:val="en-GB" w:eastAsia="en-US"/>
              </w:rPr>
              <w:lastRenderedPageBreak/>
              <w:t>States categorized as Least Developed Countries (like Sudan) for the alignment of the legal and regulatory framework to the PAFTA upgrading, particularly on Trade Facilitation.</w:t>
            </w:r>
          </w:p>
        </w:tc>
        <w:tc>
          <w:tcPr>
            <w:tcW w:w="387" w:type="dxa"/>
          </w:tcPr>
          <w:p w14:paraId="18AFB886"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lastRenderedPageBreak/>
              <w:t>X</w:t>
            </w:r>
          </w:p>
        </w:tc>
        <w:tc>
          <w:tcPr>
            <w:tcW w:w="454" w:type="dxa"/>
          </w:tcPr>
          <w:p w14:paraId="2846B4B0"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3B8E8CC5"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66BB2A52"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355373F1"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5D93AA75" w14:textId="3629BA13" w:rsidR="00A43CAF" w:rsidRPr="001E4C46" w:rsidRDefault="00A43CAF" w:rsidP="00A43CAF">
            <w:pPr>
              <w:rPr>
                <w:rFonts w:ascii="Calibri" w:eastAsia="Times New Roman" w:hAnsi="Calibri" w:cs="Calibri"/>
                <w:sz w:val="22"/>
                <w:szCs w:val="22"/>
                <w:lang w:val="x-none" w:eastAsia="en-US"/>
              </w:rPr>
            </w:pPr>
            <w:r w:rsidRPr="001E4C46">
              <w:rPr>
                <w:rFonts w:ascii="Calibri" w:eastAsia="Times New Roman" w:hAnsi="Calibri" w:cs="Calibri"/>
                <w:sz w:val="22"/>
                <w:szCs w:val="22"/>
                <w:lang w:val="en-GB" w:eastAsia="en-US"/>
              </w:rPr>
              <w:t xml:space="preserve">In 2021, the project provided technical support to the State of </w:t>
            </w:r>
            <w:r w:rsidRPr="001E4C46">
              <w:rPr>
                <w:rFonts w:ascii="Calibri" w:eastAsia="Times New Roman" w:hAnsi="Calibri" w:cs="Calibri"/>
                <w:sz w:val="22"/>
                <w:szCs w:val="22"/>
                <w:lang w:val="en-GB" w:eastAsia="en-US"/>
              </w:rPr>
              <w:lastRenderedPageBreak/>
              <w:t xml:space="preserve">Palestine in </w:t>
            </w:r>
            <w:r w:rsidR="00286400">
              <w:rPr>
                <w:rFonts w:ascii="Calibri" w:eastAsia="Times New Roman" w:hAnsi="Calibri" w:cs="Calibri"/>
                <w:sz w:val="22"/>
                <w:szCs w:val="22"/>
                <w:lang w:val="en-GB" w:eastAsia="en-US"/>
              </w:rPr>
              <w:t xml:space="preserve">the </w:t>
            </w:r>
            <w:r w:rsidRPr="001E4C46">
              <w:rPr>
                <w:rFonts w:ascii="Calibri" w:eastAsia="Times New Roman" w:hAnsi="Calibri" w:cs="Calibri"/>
                <w:sz w:val="22"/>
                <w:szCs w:val="22"/>
                <w:lang w:val="en-GB" w:eastAsia="en-US"/>
              </w:rPr>
              <w:t xml:space="preserve">preparation of </w:t>
            </w:r>
            <w:r w:rsidR="00286400">
              <w:rPr>
                <w:rFonts w:ascii="Calibri" w:eastAsia="Times New Roman" w:hAnsi="Calibri" w:cs="Calibri"/>
                <w:sz w:val="22"/>
                <w:szCs w:val="22"/>
                <w:lang w:val="en-GB" w:eastAsia="en-US"/>
              </w:rPr>
              <w:t xml:space="preserve">its </w:t>
            </w:r>
            <w:r w:rsidRPr="001E4C46">
              <w:rPr>
                <w:rFonts w:ascii="Calibri" w:eastAsia="Times New Roman" w:hAnsi="Calibri" w:cs="Calibri"/>
                <w:sz w:val="22"/>
                <w:szCs w:val="22"/>
                <w:lang w:val="en-GB" w:eastAsia="en-US"/>
              </w:rPr>
              <w:t>offer to become a contracting party to the Arab Agreement in Trade in Services, which culminated with the successful accession to the agreement. A case study on the Arab Agreement in Trade in Services is available in Annex 2.</w:t>
            </w:r>
          </w:p>
        </w:tc>
      </w:tr>
      <w:tr w:rsidR="00A43CAF" w:rsidRPr="001E4C46" w14:paraId="47FAD238" w14:textId="77777777" w:rsidTr="001E4C46">
        <w:tc>
          <w:tcPr>
            <w:tcW w:w="2487" w:type="dxa"/>
            <w:vMerge/>
          </w:tcPr>
          <w:p w14:paraId="4DD6D679" w14:textId="77777777" w:rsidR="00A43CAF" w:rsidRPr="001E4C46" w:rsidRDefault="00A43CAF" w:rsidP="00A43CAF">
            <w:pPr>
              <w:jc w:val="both"/>
              <w:rPr>
                <w:rFonts w:ascii="Calibri" w:eastAsia="Times New Roman" w:hAnsi="Calibri" w:cs="Calibri"/>
                <w:b/>
                <w:bCs/>
                <w:sz w:val="22"/>
                <w:szCs w:val="22"/>
                <w:lang w:val="en-GB" w:eastAsia="en-US"/>
              </w:rPr>
            </w:pPr>
          </w:p>
        </w:tc>
        <w:tc>
          <w:tcPr>
            <w:tcW w:w="2616" w:type="dxa"/>
            <w:shd w:val="clear" w:color="auto" w:fill="auto"/>
          </w:tcPr>
          <w:p w14:paraId="45EEBD9E"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3.1.1 Hold virtual regional workshops on Trade Facilitation for Non-WTO members and LDCs.</w:t>
            </w:r>
          </w:p>
        </w:tc>
        <w:tc>
          <w:tcPr>
            <w:tcW w:w="387" w:type="dxa"/>
            <w:shd w:val="clear" w:color="auto" w:fill="auto"/>
          </w:tcPr>
          <w:p w14:paraId="72ED322F"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54" w:type="dxa"/>
            <w:shd w:val="clear" w:color="auto" w:fill="auto"/>
          </w:tcPr>
          <w:p w14:paraId="10AB2279" w14:textId="77777777" w:rsidR="00A43CAF" w:rsidRPr="001E4C46" w:rsidRDefault="00A43CAF" w:rsidP="00A43CAF">
            <w:pPr>
              <w:rPr>
                <w:rFonts w:ascii="Calibri" w:eastAsia="Times New Roman" w:hAnsi="Calibri" w:cs="Calibri"/>
                <w:sz w:val="22"/>
                <w:szCs w:val="22"/>
                <w:lang w:val="en-GB" w:eastAsia="en-US"/>
              </w:rPr>
            </w:pPr>
          </w:p>
        </w:tc>
        <w:tc>
          <w:tcPr>
            <w:tcW w:w="414" w:type="dxa"/>
            <w:shd w:val="clear" w:color="auto" w:fill="auto"/>
          </w:tcPr>
          <w:p w14:paraId="105636EE" w14:textId="77777777" w:rsidR="00A43CAF" w:rsidRPr="001E4C46" w:rsidRDefault="00A43CAF" w:rsidP="00A43CAF">
            <w:pPr>
              <w:rPr>
                <w:rFonts w:ascii="Calibri" w:eastAsia="Times New Roman" w:hAnsi="Calibri" w:cs="Calibri"/>
                <w:sz w:val="22"/>
                <w:szCs w:val="22"/>
                <w:lang w:val="en-GB" w:eastAsia="en-US"/>
              </w:rPr>
            </w:pPr>
          </w:p>
        </w:tc>
        <w:tc>
          <w:tcPr>
            <w:tcW w:w="385" w:type="dxa"/>
            <w:shd w:val="clear" w:color="auto" w:fill="auto"/>
          </w:tcPr>
          <w:p w14:paraId="5685FA10"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6CD71B17" w14:textId="77777777" w:rsidR="00A43CAF" w:rsidRPr="001E4C46" w:rsidRDefault="00A43CAF" w:rsidP="00A43CAF">
            <w:pPr>
              <w:rPr>
                <w:rFonts w:ascii="Calibri" w:eastAsia="Times New Roman" w:hAnsi="Calibri" w:cs="Calibri"/>
                <w:sz w:val="22"/>
                <w:szCs w:val="22"/>
                <w:lang w:val="en-GB" w:eastAsia="en-US"/>
              </w:rPr>
            </w:pPr>
          </w:p>
        </w:tc>
        <w:tc>
          <w:tcPr>
            <w:tcW w:w="3367" w:type="dxa"/>
            <w:shd w:val="clear" w:color="auto" w:fill="auto"/>
          </w:tcPr>
          <w:p w14:paraId="1337350C" w14:textId="79D445F0"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While LAS member states categorized as LDC</w:t>
            </w:r>
            <w:r w:rsidR="00286400">
              <w:rPr>
                <w:rFonts w:ascii="Calibri" w:eastAsia="Times New Roman" w:hAnsi="Calibri" w:cs="Calibri"/>
                <w:sz w:val="22"/>
                <w:szCs w:val="22"/>
                <w:lang w:val="en-GB" w:eastAsia="en-US"/>
              </w:rPr>
              <w:t>s</w:t>
            </w:r>
            <w:r w:rsidRPr="001E4C46">
              <w:rPr>
                <w:rFonts w:ascii="Calibri" w:eastAsia="Times New Roman" w:hAnsi="Calibri" w:cs="Calibri"/>
                <w:sz w:val="22"/>
                <w:szCs w:val="22"/>
                <w:lang w:val="en-GB" w:eastAsia="en-US"/>
              </w:rPr>
              <w:t xml:space="preserve"> have been encouraged to take part in all webinars, a targeted workshop for non-WTO members could not be organised due to the volatile political situation.</w:t>
            </w:r>
          </w:p>
        </w:tc>
      </w:tr>
      <w:tr w:rsidR="00A43CAF" w:rsidRPr="001E4C46" w14:paraId="086BDE87" w14:textId="77777777" w:rsidTr="001E4C46">
        <w:tc>
          <w:tcPr>
            <w:tcW w:w="2487" w:type="dxa"/>
            <w:vMerge/>
          </w:tcPr>
          <w:p w14:paraId="7C5F8568"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778DE987"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 xml:space="preserve">3.1.2 </w:t>
            </w:r>
            <w:proofErr w:type="gramStart"/>
            <w:r w:rsidRPr="001E4C46">
              <w:rPr>
                <w:rFonts w:ascii="Calibri" w:eastAsia="Times New Roman" w:hAnsi="Calibri" w:cs="Calibri"/>
                <w:sz w:val="22"/>
                <w:szCs w:val="22"/>
                <w:lang w:val="en-GB" w:eastAsia="en-US"/>
              </w:rPr>
              <w:t>Provide assistance</w:t>
            </w:r>
            <w:proofErr w:type="gramEnd"/>
            <w:r w:rsidRPr="001E4C46">
              <w:rPr>
                <w:rFonts w:ascii="Calibri" w:eastAsia="Times New Roman" w:hAnsi="Calibri" w:cs="Calibri"/>
                <w:sz w:val="22"/>
                <w:szCs w:val="22"/>
                <w:lang w:val="en-GB" w:eastAsia="en-US"/>
              </w:rPr>
              <w:t xml:space="preserve"> in the design of the Strategic Planning of Sudan National Single Window for policy decisions.</w:t>
            </w:r>
          </w:p>
        </w:tc>
        <w:tc>
          <w:tcPr>
            <w:tcW w:w="387" w:type="dxa"/>
          </w:tcPr>
          <w:p w14:paraId="1A44DEE6"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54" w:type="dxa"/>
          </w:tcPr>
          <w:p w14:paraId="5F27E4F6"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18878F2E"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238C9B13"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6425E6B1" w14:textId="77777777" w:rsidR="00A43CAF" w:rsidRPr="001E4C46" w:rsidRDefault="00A43CAF" w:rsidP="00A43CAF">
            <w:pPr>
              <w:rPr>
                <w:rFonts w:ascii="Calibri" w:eastAsia="Times New Roman" w:hAnsi="Calibri" w:cs="Calibri"/>
                <w:sz w:val="22"/>
                <w:szCs w:val="22"/>
                <w:lang w:val="en-GB" w:eastAsia="en-US"/>
              </w:rPr>
            </w:pPr>
          </w:p>
        </w:tc>
        <w:tc>
          <w:tcPr>
            <w:tcW w:w="3367" w:type="dxa"/>
            <w:vMerge w:val="restart"/>
            <w:vAlign w:val="center"/>
          </w:tcPr>
          <w:p w14:paraId="579515DF" w14:textId="77777777" w:rsidR="00A43CAF"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The project planned and designed initiatives to support the development of a national single window in Sudan, but the unstable political situation prevented the roll out of this activity.</w:t>
            </w:r>
            <w:r w:rsidR="002E4420">
              <w:rPr>
                <w:rFonts w:ascii="Calibri" w:eastAsia="Times New Roman" w:hAnsi="Calibri" w:cs="Calibri"/>
                <w:sz w:val="22"/>
                <w:szCs w:val="22"/>
                <w:lang w:val="en-GB" w:eastAsia="en-US"/>
              </w:rPr>
              <w:t xml:space="preserve"> </w:t>
            </w:r>
          </w:p>
          <w:p w14:paraId="1D0FF662" w14:textId="4B2CE2B8" w:rsidR="002E4420" w:rsidRPr="001E4C46" w:rsidRDefault="002E4420" w:rsidP="00A43CAF">
            <w:pPr>
              <w:rPr>
                <w:rFonts w:ascii="Calibri" w:eastAsia="Times New Roman" w:hAnsi="Calibri" w:cs="Calibri"/>
                <w:sz w:val="22"/>
                <w:szCs w:val="22"/>
                <w:lang w:val="en-GB" w:eastAsia="en-US"/>
              </w:rPr>
            </w:pPr>
            <w:r>
              <w:rPr>
                <w:rFonts w:ascii="Calibri" w:eastAsia="Times New Roman" w:hAnsi="Calibri" w:cs="Calibri"/>
                <w:sz w:val="22"/>
                <w:szCs w:val="22"/>
                <w:lang w:val="en-GB" w:eastAsia="en-US"/>
              </w:rPr>
              <w:t xml:space="preserve">Efforts were redirected to </w:t>
            </w:r>
            <w:r w:rsidR="001977B6">
              <w:rPr>
                <w:rFonts w:ascii="Calibri" w:eastAsia="Times New Roman" w:hAnsi="Calibri" w:cs="Calibri"/>
                <w:sz w:val="22"/>
                <w:szCs w:val="22"/>
                <w:lang w:val="en-GB" w:eastAsia="en-US"/>
              </w:rPr>
              <w:t>a joint initiative w</w:t>
            </w:r>
            <w:r w:rsidRPr="002E4420">
              <w:rPr>
                <w:rFonts w:ascii="Calibri" w:eastAsia="Times New Roman" w:hAnsi="Calibri" w:cs="Calibri"/>
                <w:sz w:val="22"/>
                <w:szCs w:val="22"/>
                <w:lang w:val="en-GB" w:eastAsia="en-US"/>
              </w:rPr>
              <w:t>ith UNCTAD</w:t>
            </w:r>
            <w:r w:rsidR="00DE747C">
              <w:rPr>
                <w:rFonts w:ascii="Calibri" w:eastAsia="Times New Roman" w:hAnsi="Calibri" w:cs="Calibri"/>
                <w:sz w:val="22"/>
                <w:szCs w:val="22"/>
                <w:lang w:val="en-GB" w:eastAsia="en-US"/>
              </w:rPr>
              <w:t xml:space="preserve"> to finalize </w:t>
            </w:r>
            <w:r w:rsidRPr="002E4420">
              <w:rPr>
                <w:rFonts w:ascii="Calibri" w:eastAsia="Times New Roman" w:hAnsi="Calibri" w:cs="Calibri"/>
                <w:sz w:val="22"/>
                <w:szCs w:val="22"/>
                <w:lang w:val="en-GB" w:eastAsia="en-US"/>
              </w:rPr>
              <w:t>the Trade in Services Policy Review of three sectors, namely: Legal Services, Whole Sales and Retail Distribution, and Logistics services of pharmaceutical products.</w:t>
            </w:r>
          </w:p>
        </w:tc>
      </w:tr>
      <w:tr w:rsidR="00A43CAF" w:rsidRPr="001E4C46" w14:paraId="60A86247" w14:textId="77777777" w:rsidTr="001E4C46">
        <w:trPr>
          <w:trHeight w:val="755"/>
        </w:trPr>
        <w:tc>
          <w:tcPr>
            <w:tcW w:w="2487" w:type="dxa"/>
            <w:vMerge/>
          </w:tcPr>
          <w:p w14:paraId="2D449B1D"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3BFF789C"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3.1.3 Provide capacity building activities on technical areas of Sudanese National Single Window</w:t>
            </w:r>
          </w:p>
        </w:tc>
        <w:tc>
          <w:tcPr>
            <w:tcW w:w="387" w:type="dxa"/>
          </w:tcPr>
          <w:p w14:paraId="52C2C0AD"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54" w:type="dxa"/>
          </w:tcPr>
          <w:p w14:paraId="14669C0B"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3F7D1AC0"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3D781FE7"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446CA6D3" w14:textId="77777777" w:rsidR="00A43CAF" w:rsidRPr="001E4C46" w:rsidRDefault="00A43CAF" w:rsidP="00A43CAF">
            <w:pPr>
              <w:rPr>
                <w:rFonts w:ascii="Calibri" w:eastAsia="Times New Roman" w:hAnsi="Calibri" w:cs="Calibri"/>
                <w:sz w:val="22"/>
                <w:szCs w:val="22"/>
                <w:lang w:val="en-GB" w:eastAsia="en-US"/>
              </w:rPr>
            </w:pPr>
          </w:p>
        </w:tc>
        <w:tc>
          <w:tcPr>
            <w:tcW w:w="3367" w:type="dxa"/>
            <w:vMerge/>
          </w:tcPr>
          <w:p w14:paraId="1748D88D" w14:textId="77777777" w:rsidR="00A43CAF" w:rsidRPr="001E4C46" w:rsidRDefault="00A43CAF" w:rsidP="00A43CAF">
            <w:pPr>
              <w:rPr>
                <w:rFonts w:ascii="Calibri" w:eastAsia="Times New Roman" w:hAnsi="Calibri" w:cs="Calibri"/>
                <w:sz w:val="22"/>
                <w:szCs w:val="22"/>
                <w:lang w:val="en-GB" w:eastAsia="en-US"/>
              </w:rPr>
            </w:pPr>
          </w:p>
        </w:tc>
      </w:tr>
      <w:tr w:rsidR="00A43CAF" w:rsidRPr="001E4C46" w14:paraId="46EC234B" w14:textId="77777777" w:rsidTr="001E4C46">
        <w:tc>
          <w:tcPr>
            <w:tcW w:w="2487" w:type="dxa"/>
            <w:vMerge/>
          </w:tcPr>
          <w:p w14:paraId="36CF1B74"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425D0CEE"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3.1.4 Provide support to Arab countries, within a coordinated scheme, through LAS, in strengthening their design procedures and monitoring mechanisms for disputes coming out of PAFTA and the PAFTA upgrading.</w:t>
            </w:r>
          </w:p>
        </w:tc>
        <w:tc>
          <w:tcPr>
            <w:tcW w:w="387" w:type="dxa"/>
          </w:tcPr>
          <w:p w14:paraId="06C5CD7F" w14:textId="77777777" w:rsidR="00A43CAF" w:rsidRPr="001E4C46" w:rsidRDefault="00A43CAF" w:rsidP="00A43CAF">
            <w:pPr>
              <w:rPr>
                <w:rFonts w:ascii="Calibri" w:eastAsia="Times New Roman" w:hAnsi="Calibri" w:cs="Calibri"/>
                <w:sz w:val="22"/>
                <w:szCs w:val="22"/>
                <w:lang w:val="en-GB" w:eastAsia="en-US"/>
              </w:rPr>
            </w:pPr>
          </w:p>
        </w:tc>
        <w:tc>
          <w:tcPr>
            <w:tcW w:w="454" w:type="dxa"/>
          </w:tcPr>
          <w:p w14:paraId="6D693C1A"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7933AFC5"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4EEB225C"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2D91FEC3"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54E7426D"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Fifteen Arab countries applied the upgraded standard report to present the implementation of PAFTA to the Monitoring and Enforcement Committee under ECOSOC. Conflict-affected countries such as Yemen and Libya could not submit their reports.</w:t>
            </w:r>
          </w:p>
        </w:tc>
      </w:tr>
      <w:tr w:rsidR="00A43CAF" w:rsidRPr="001E4C46" w14:paraId="52865189" w14:textId="77777777" w:rsidTr="001E4C46">
        <w:tc>
          <w:tcPr>
            <w:tcW w:w="2487" w:type="dxa"/>
            <w:vMerge/>
          </w:tcPr>
          <w:p w14:paraId="6C12C9F6"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27DADAC7"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3.2 Develop the Roadmap of Export Promotion of Lebanon toward the new strategies for Reform-Recovery-Reconstruction, inclusive of a monitoring mechanism.</w:t>
            </w:r>
          </w:p>
        </w:tc>
        <w:tc>
          <w:tcPr>
            <w:tcW w:w="387" w:type="dxa"/>
          </w:tcPr>
          <w:p w14:paraId="1207DA3D" w14:textId="77777777" w:rsidR="00A43CAF" w:rsidRPr="001E4C46" w:rsidRDefault="00A43CAF" w:rsidP="00A43CAF">
            <w:pPr>
              <w:rPr>
                <w:rFonts w:ascii="Calibri" w:eastAsia="Times New Roman" w:hAnsi="Calibri" w:cs="Calibri"/>
                <w:sz w:val="22"/>
                <w:szCs w:val="22"/>
                <w:lang w:val="en-GB" w:eastAsia="en-US"/>
              </w:rPr>
            </w:pPr>
          </w:p>
        </w:tc>
        <w:tc>
          <w:tcPr>
            <w:tcW w:w="454" w:type="dxa"/>
          </w:tcPr>
          <w:p w14:paraId="524C16BF" w14:textId="77777777" w:rsidR="00A43CAF" w:rsidRPr="001E4C46" w:rsidRDefault="00A43CAF" w:rsidP="00A43CAF">
            <w:pPr>
              <w:rPr>
                <w:rFonts w:ascii="Calibri" w:eastAsia="Times New Roman" w:hAnsi="Calibri" w:cs="Calibri"/>
                <w:sz w:val="22"/>
                <w:szCs w:val="22"/>
                <w:lang w:val="en-GB" w:eastAsia="en-US"/>
              </w:rPr>
            </w:pPr>
          </w:p>
        </w:tc>
        <w:tc>
          <w:tcPr>
            <w:tcW w:w="414" w:type="dxa"/>
          </w:tcPr>
          <w:p w14:paraId="4C118D41"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385" w:type="dxa"/>
          </w:tcPr>
          <w:p w14:paraId="5864D7B8"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663" w:type="dxa"/>
          </w:tcPr>
          <w:p w14:paraId="2FB49745"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3E1BFB59" w14:textId="77777777" w:rsidR="00A43CAF" w:rsidRPr="001E4C46" w:rsidRDefault="00A43CAF" w:rsidP="00A43CAF">
            <w:pPr>
              <w:rPr>
                <w:rFonts w:ascii="Calibri" w:eastAsia="Times New Roman" w:hAnsi="Calibri" w:cs="Calibri"/>
                <w:b/>
                <w:bCs/>
                <w:sz w:val="22"/>
                <w:szCs w:val="22"/>
                <w:lang w:val="en-GB" w:eastAsia="en-US"/>
              </w:rPr>
            </w:pPr>
            <w:r w:rsidRPr="001E4C46">
              <w:rPr>
                <w:rFonts w:ascii="Calibri" w:eastAsia="Times New Roman" w:hAnsi="Calibri" w:cs="Calibri"/>
                <w:sz w:val="22"/>
                <w:szCs w:val="22"/>
                <w:lang w:val="en-GB" w:eastAsia="en-US"/>
              </w:rPr>
              <w:t xml:space="preserve">The project supported the Ministry of Economy and Trade of Lebanon to develop a Roadmap of Export Promotion, inclusive of a monitoring mechanism. This contributed to the Reform-Recovery-Reconstruction initiative, </w:t>
            </w:r>
            <w:r w:rsidRPr="001E4C46">
              <w:rPr>
                <w:rFonts w:ascii="Calibri" w:eastAsia="Times New Roman" w:hAnsi="Calibri" w:cs="Calibri"/>
                <w:sz w:val="22"/>
                <w:szCs w:val="22"/>
                <w:lang w:val="en-GB" w:eastAsia="en-US"/>
              </w:rPr>
              <w:lastRenderedPageBreak/>
              <w:t>initiated in the aftermath of the explosion in the Beirut port in August 2020, in cooperation with the European Union and the World Bank.</w:t>
            </w:r>
          </w:p>
        </w:tc>
      </w:tr>
      <w:tr w:rsidR="00A43CAF" w:rsidRPr="001E4C46" w14:paraId="07DD8EA4" w14:textId="77777777" w:rsidTr="001E4C46">
        <w:trPr>
          <w:trHeight w:val="588"/>
        </w:trPr>
        <w:tc>
          <w:tcPr>
            <w:tcW w:w="2487" w:type="dxa"/>
            <w:vMerge/>
          </w:tcPr>
          <w:p w14:paraId="05F2C433"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4D5D7A52"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3.3 Undertake the pilot to support cooperatives working in the production of Argan oil in Morocco, operated by women, in using export promotion</w:t>
            </w:r>
          </w:p>
        </w:tc>
        <w:tc>
          <w:tcPr>
            <w:tcW w:w="387" w:type="dxa"/>
          </w:tcPr>
          <w:p w14:paraId="162A728F"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54" w:type="dxa"/>
          </w:tcPr>
          <w:p w14:paraId="75799876"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54DACFC4"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6961776E"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5B2FA002" w14:textId="77777777" w:rsidR="00A43CAF" w:rsidRPr="001E4C46" w:rsidRDefault="00A43CAF" w:rsidP="00A43CAF">
            <w:pPr>
              <w:rPr>
                <w:rFonts w:ascii="Calibri" w:eastAsia="Times New Roman" w:hAnsi="Calibri" w:cs="Calibri"/>
                <w:sz w:val="22"/>
                <w:szCs w:val="22"/>
                <w:lang w:val="en-GB" w:eastAsia="en-US"/>
              </w:rPr>
            </w:pPr>
          </w:p>
        </w:tc>
        <w:tc>
          <w:tcPr>
            <w:tcW w:w="3367" w:type="dxa"/>
            <w:vMerge w:val="restart"/>
          </w:tcPr>
          <w:p w14:paraId="4D1A5FE4" w14:textId="5F8BFCA0"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 xml:space="preserve">This activity, initially planned to contribute to output 6, was repurposed under output 3 to develop synergies with Lebanon Export promotion roadmap. In partnership with Fair Trade Lebanon, the pilot supported access to the US market for eighteen Lebanese SMEs producing </w:t>
            </w:r>
            <w:proofErr w:type="spellStart"/>
            <w:r w:rsidRPr="001E4C46">
              <w:rPr>
                <w:rFonts w:ascii="Calibri" w:eastAsia="Times New Roman" w:hAnsi="Calibri" w:cs="Calibri"/>
                <w:sz w:val="22"/>
                <w:szCs w:val="22"/>
                <w:lang w:val="en-GB" w:eastAsia="en-US"/>
              </w:rPr>
              <w:t>agro</w:t>
            </w:r>
            <w:proofErr w:type="spellEnd"/>
            <w:r w:rsidRPr="001E4C46">
              <w:rPr>
                <w:rFonts w:ascii="Calibri" w:eastAsia="Times New Roman" w:hAnsi="Calibri" w:cs="Calibri"/>
                <w:sz w:val="22"/>
                <w:szCs w:val="22"/>
                <w:lang w:val="en-GB" w:eastAsia="en-US"/>
              </w:rPr>
              <w:t>-food goods and sixteen Moroccan cooperatives producing argan oil derivates. Participants in the pilot benefited from capacity development activities for better understanding the US market requirements, marketing support, etc. By the end of the pilot, the Lebanese SMEs also received logistical support to ship their products to the US. As only three Moroccan cooperatives were deemed export-ready, based on the availability of the necessary licences and certificates, an e-market place was developed to help them promoting their products while the rest of the requirements are attained. Additional details on the pilot are available in Annex 4</w:t>
            </w:r>
            <w:r w:rsidR="00286400">
              <w:rPr>
                <w:rFonts w:ascii="Calibri" w:eastAsia="Times New Roman" w:hAnsi="Calibri" w:cs="Calibri"/>
                <w:sz w:val="22"/>
                <w:szCs w:val="22"/>
                <w:lang w:val="en-GB" w:eastAsia="en-US"/>
              </w:rPr>
              <w:t>.</w:t>
            </w:r>
          </w:p>
        </w:tc>
      </w:tr>
      <w:tr w:rsidR="00A43CAF" w:rsidRPr="001E4C46" w14:paraId="3C496363" w14:textId="77777777" w:rsidTr="001E4C46">
        <w:trPr>
          <w:trHeight w:val="588"/>
        </w:trPr>
        <w:tc>
          <w:tcPr>
            <w:tcW w:w="2487" w:type="dxa"/>
            <w:vMerge/>
          </w:tcPr>
          <w:p w14:paraId="59B5D0C4"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2F16C8F8" w14:textId="77777777" w:rsidR="00A43CAF" w:rsidRPr="001E4C46" w:rsidRDefault="00A43CAF" w:rsidP="00A43CAF">
            <w:pPr>
              <w:ind w:left="381"/>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3.3.1 Conduct the need assessment of identified cooperatives producing Argan oil on needs of strengthening staff capability in the export promotion.</w:t>
            </w:r>
          </w:p>
        </w:tc>
        <w:tc>
          <w:tcPr>
            <w:tcW w:w="387" w:type="dxa"/>
          </w:tcPr>
          <w:p w14:paraId="18289CCD"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54" w:type="dxa"/>
          </w:tcPr>
          <w:p w14:paraId="69141B9E"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4374709D"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6511064F"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592BE548" w14:textId="77777777" w:rsidR="00A43CAF" w:rsidRPr="001E4C46" w:rsidRDefault="00A43CAF" w:rsidP="00A43CAF">
            <w:pPr>
              <w:rPr>
                <w:rFonts w:ascii="Calibri" w:eastAsia="Times New Roman" w:hAnsi="Calibri" w:cs="Calibri"/>
                <w:sz w:val="22"/>
                <w:szCs w:val="22"/>
                <w:lang w:val="en-GB" w:eastAsia="en-US"/>
              </w:rPr>
            </w:pPr>
          </w:p>
        </w:tc>
        <w:tc>
          <w:tcPr>
            <w:tcW w:w="3367" w:type="dxa"/>
            <w:vMerge/>
          </w:tcPr>
          <w:p w14:paraId="0407DA2B" w14:textId="77777777" w:rsidR="00A43CAF" w:rsidRPr="001E4C46" w:rsidRDefault="00A43CAF" w:rsidP="00A43CAF">
            <w:pPr>
              <w:rPr>
                <w:rFonts w:ascii="Calibri" w:eastAsia="Times New Roman" w:hAnsi="Calibri" w:cs="Calibri"/>
                <w:sz w:val="22"/>
                <w:szCs w:val="22"/>
                <w:lang w:val="en-GB" w:eastAsia="en-US"/>
              </w:rPr>
            </w:pPr>
          </w:p>
        </w:tc>
      </w:tr>
      <w:tr w:rsidR="00A43CAF" w:rsidRPr="001E4C46" w14:paraId="328D1BBE" w14:textId="77777777" w:rsidTr="001E4C46">
        <w:trPr>
          <w:trHeight w:val="588"/>
        </w:trPr>
        <w:tc>
          <w:tcPr>
            <w:tcW w:w="2487" w:type="dxa"/>
            <w:vMerge/>
          </w:tcPr>
          <w:p w14:paraId="6676968B"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6E7A3A92" w14:textId="77777777" w:rsidR="00A43CAF" w:rsidRPr="001E4C46" w:rsidRDefault="00A43CAF" w:rsidP="00A43CAF">
            <w:pPr>
              <w:ind w:left="381"/>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3.3.2 Design the plan of export promotion for the identified cooperatives</w:t>
            </w:r>
          </w:p>
        </w:tc>
        <w:tc>
          <w:tcPr>
            <w:tcW w:w="387" w:type="dxa"/>
          </w:tcPr>
          <w:p w14:paraId="6225D857"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54" w:type="dxa"/>
          </w:tcPr>
          <w:p w14:paraId="60E9719F"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76B8CFCD"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2B08F305"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115FD0EC" w14:textId="77777777" w:rsidR="00A43CAF" w:rsidRPr="001E4C46" w:rsidRDefault="00A43CAF" w:rsidP="00A43CAF">
            <w:pPr>
              <w:rPr>
                <w:rFonts w:ascii="Calibri" w:eastAsia="Times New Roman" w:hAnsi="Calibri" w:cs="Calibri"/>
                <w:sz w:val="22"/>
                <w:szCs w:val="22"/>
                <w:lang w:val="en-GB" w:eastAsia="en-US"/>
              </w:rPr>
            </w:pPr>
          </w:p>
        </w:tc>
        <w:tc>
          <w:tcPr>
            <w:tcW w:w="3367" w:type="dxa"/>
            <w:vMerge/>
          </w:tcPr>
          <w:p w14:paraId="23DEB9DD" w14:textId="77777777" w:rsidR="00A43CAF" w:rsidRPr="001E4C46" w:rsidRDefault="00A43CAF" w:rsidP="00A43CAF">
            <w:pPr>
              <w:rPr>
                <w:rFonts w:ascii="Calibri" w:eastAsia="Times New Roman" w:hAnsi="Calibri" w:cs="Calibri"/>
                <w:sz w:val="22"/>
                <w:szCs w:val="22"/>
                <w:lang w:val="en-GB" w:eastAsia="en-US"/>
              </w:rPr>
            </w:pPr>
          </w:p>
        </w:tc>
      </w:tr>
      <w:tr w:rsidR="00A43CAF" w:rsidRPr="001E4C46" w14:paraId="19070F02" w14:textId="77777777" w:rsidTr="001E4C46">
        <w:trPr>
          <w:trHeight w:val="588"/>
        </w:trPr>
        <w:tc>
          <w:tcPr>
            <w:tcW w:w="2487" w:type="dxa"/>
            <w:vMerge/>
          </w:tcPr>
          <w:p w14:paraId="6A6E144C"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1C0DA45E" w14:textId="77777777" w:rsidR="00A43CAF" w:rsidRPr="001E4C46" w:rsidRDefault="00A43CAF" w:rsidP="00A43CAF">
            <w:pPr>
              <w:ind w:left="381"/>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3.3.3 - Develop the business network to support access of Moroccan cooperatives in producing Argan oil to connect to international markets</w:t>
            </w:r>
          </w:p>
        </w:tc>
        <w:tc>
          <w:tcPr>
            <w:tcW w:w="387" w:type="dxa"/>
          </w:tcPr>
          <w:p w14:paraId="52676E2F" w14:textId="77777777" w:rsidR="00A43CAF" w:rsidRPr="001E4C46" w:rsidRDefault="00A43CAF" w:rsidP="00A43CAF">
            <w:pPr>
              <w:rPr>
                <w:rFonts w:ascii="Calibri" w:eastAsia="Times New Roman" w:hAnsi="Calibri" w:cs="Calibri"/>
                <w:sz w:val="22"/>
                <w:szCs w:val="22"/>
                <w:lang w:val="en-GB" w:eastAsia="en-US"/>
              </w:rPr>
            </w:pPr>
          </w:p>
        </w:tc>
        <w:tc>
          <w:tcPr>
            <w:tcW w:w="454" w:type="dxa"/>
          </w:tcPr>
          <w:p w14:paraId="64FAD837" w14:textId="77777777" w:rsidR="00A43CAF" w:rsidRPr="001E4C46" w:rsidRDefault="00A43CAF" w:rsidP="00A43CAF">
            <w:pPr>
              <w:rPr>
                <w:rFonts w:ascii="Calibri" w:eastAsia="Times New Roman" w:hAnsi="Calibri" w:cs="Calibri"/>
                <w:sz w:val="22"/>
                <w:szCs w:val="22"/>
                <w:lang w:val="en-GB" w:eastAsia="en-US"/>
              </w:rPr>
            </w:pPr>
          </w:p>
        </w:tc>
        <w:tc>
          <w:tcPr>
            <w:tcW w:w="414" w:type="dxa"/>
          </w:tcPr>
          <w:p w14:paraId="06459957"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385" w:type="dxa"/>
          </w:tcPr>
          <w:p w14:paraId="37184C8A"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663" w:type="dxa"/>
          </w:tcPr>
          <w:p w14:paraId="3A3D0ADF"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3367" w:type="dxa"/>
            <w:vMerge/>
          </w:tcPr>
          <w:p w14:paraId="52D6E474" w14:textId="77777777" w:rsidR="00A43CAF" w:rsidRPr="001E4C46" w:rsidRDefault="00A43CAF" w:rsidP="00A43CAF">
            <w:pPr>
              <w:rPr>
                <w:rFonts w:ascii="Calibri" w:eastAsia="Times New Roman" w:hAnsi="Calibri" w:cs="Calibri"/>
                <w:sz w:val="22"/>
                <w:szCs w:val="22"/>
                <w:lang w:val="en-GB" w:eastAsia="en-US"/>
              </w:rPr>
            </w:pPr>
          </w:p>
        </w:tc>
      </w:tr>
      <w:tr w:rsidR="00A43CAF" w:rsidRPr="001E4C46" w14:paraId="3C3834BB" w14:textId="77777777" w:rsidTr="001E4C46">
        <w:trPr>
          <w:trHeight w:val="305"/>
        </w:trPr>
        <w:tc>
          <w:tcPr>
            <w:tcW w:w="2487" w:type="dxa"/>
            <w:vMerge w:val="restart"/>
          </w:tcPr>
          <w:p w14:paraId="3ED78389" w14:textId="77777777" w:rsidR="00A43CAF" w:rsidRPr="001E4C46" w:rsidRDefault="00A43CAF" w:rsidP="00A43CAF">
            <w:pPr>
              <w:jc w:val="both"/>
              <w:rPr>
                <w:rFonts w:ascii="Calibri" w:eastAsia="Times New Roman" w:hAnsi="Calibri" w:cs="Calibri"/>
                <w:b/>
                <w:bCs/>
                <w:sz w:val="22"/>
                <w:szCs w:val="22"/>
                <w:lang w:val="en-GB" w:eastAsia="en-US"/>
              </w:rPr>
            </w:pPr>
            <w:r w:rsidRPr="001E4C46">
              <w:rPr>
                <w:rFonts w:ascii="Calibri" w:eastAsia="Times New Roman" w:hAnsi="Calibri" w:cs="Calibri"/>
                <w:b/>
                <w:bCs/>
                <w:sz w:val="22"/>
                <w:szCs w:val="22"/>
                <w:lang w:val="en-GB" w:eastAsia="en-US"/>
              </w:rPr>
              <w:t xml:space="preserve">Output 4: </w:t>
            </w:r>
            <w:bookmarkStart w:id="230" w:name="_Hlk73890606"/>
            <w:r w:rsidRPr="001E4C46">
              <w:rPr>
                <w:rFonts w:ascii="Calibri" w:eastAsia="Times New Roman" w:hAnsi="Calibri" w:cs="Calibri"/>
                <w:b/>
                <w:bCs/>
                <w:sz w:val="22"/>
                <w:szCs w:val="22"/>
                <w:lang w:val="en-GB" w:eastAsia="en-US"/>
              </w:rPr>
              <w:t>Provision of country-based technical assistance to policy makers for the modernization of the supply/value chain in preparatory process for the Arab Customs Union</w:t>
            </w:r>
            <w:bookmarkEnd w:id="230"/>
          </w:p>
          <w:p w14:paraId="6CDE075E" w14:textId="77777777" w:rsidR="00A43CAF" w:rsidRPr="001E4C46" w:rsidRDefault="00A43CAF" w:rsidP="00A43CAF">
            <w:pPr>
              <w:jc w:val="both"/>
              <w:rPr>
                <w:rFonts w:ascii="Calibri" w:eastAsia="Times New Roman" w:hAnsi="Calibri" w:cs="Calibri"/>
                <w:sz w:val="22"/>
                <w:szCs w:val="22"/>
                <w:lang w:val="en-GB" w:eastAsia="en-US"/>
              </w:rPr>
            </w:pPr>
          </w:p>
        </w:tc>
        <w:tc>
          <w:tcPr>
            <w:tcW w:w="2616" w:type="dxa"/>
          </w:tcPr>
          <w:p w14:paraId="1CCD90DE"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 xml:space="preserve">4.1 Review of the regulatory framework to facilitate customs digitalization of one or two Arab countries. Analysis of gaps in the legal and regulatory framework for the electronic processing of information and data </w:t>
            </w:r>
            <w:r w:rsidRPr="001E4C46">
              <w:rPr>
                <w:rFonts w:ascii="Calibri" w:eastAsia="Times New Roman" w:hAnsi="Calibri" w:cs="Calibri"/>
                <w:sz w:val="22"/>
                <w:szCs w:val="22"/>
                <w:lang w:val="en-GB" w:eastAsia="en-US"/>
              </w:rPr>
              <w:lastRenderedPageBreak/>
              <w:t>exchanges (Paperless Trade)</w:t>
            </w:r>
          </w:p>
        </w:tc>
        <w:tc>
          <w:tcPr>
            <w:tcW w:w="387" w:type="dxa"/>
          </w:tcPr>
          <w:p w14:paraId="153B67E6"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lastRenderedPageBreak/>
              <w:t>X</w:t>
            </w:r>
          </w:p>
        </w:tc>
        <w:tc>
          <w:tcPr>
            <w:tcW w:w="454" w:type="dxa"/>
          </w:tcPr>
          <w:p w14:paraId="230D8E77"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5A1F2FA4"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79737A32"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5E23C547"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1D540B0A" w14:textId="0D7BEFD1"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 xml:space="preserve">This activity covered the implementation of activity 4.4 in Morocco and 4.6 in Jordan. UNDP registered increasing interest in the digitalization of trade-related processes, which would require additional resources and an extended timeline. The experience gained through this project can be leveraged for future initiatives in this area. </w:t>
            </w:r>
          </w:p>
        </w:tc>
      </w:tr>
      <w:tr w:rsidR="00A43CAF" w:rsidRPr="001E4C46" w14:paraId="3C5EE382" w14:textId="77777777" w:rsidTr="001E4C46">
        <w:tc>
          <w:tcPr>
            <w:tcW w:w="2487" w:type="dxa"/>
            <w:vMerge/>
          </w:tcPr>
          <w:p w14:paraId="534BC951"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1D770B09"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4.2 Simplify and standardize trade and customs-related procedures based on international standards (</w:t>
            </w:r>
            <w:proofErr w:type="gramStart"/>
            <w:r w:rsidRPr="001E4C46">
              <w:rPr>
                <w:rFonts w:ascii="Calibri" w:eastAsia="Times New Roman" w:hAnsi="Calibri" w:cs="Calibri"/>
                <w:sz w:val="22"/>
                <w:szCs w:val="22"/>
                <w:lang w:val="en-GB" w:eastAsia="en-US"/>
              </w:rPr>
              <w:t>e.g.</w:t>
            </w:r>
            <w:proofErr w:type="gramEnd"/>
            <w:r w:rsidRPr="001E4C46">
              <w:rPr>
                <w:rFonts w:ascii="Calibri" w:eastAsia="Times New Roman" w:hAnsi="Calibri" w:cs="Calibri"/>
                <w:sz w:val="22"/>
                <w:szCs w:val="22"/>
                <w:lang w:val="en-GB" w:eastAsia="en-US"/>
              </w:rPr>
              <w:t xml:space="preserve"> AEOs, Post Clearance Audit, etc.) at the regional level.</w:t>
            </w:r>
          </w:p>
        </w:tc>
        <w:tc>
          <w:tcPr>
            <w:tcW w:w="387" w:type="dxa"/>
          </w:tcPr>
          <w:p w14:paraId="7AEF0D3E"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54" w:type="dxa"/>
          </w:tcPr>
          <w:p w14:paraId="3FDBED79"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73320ECD"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626EB220"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4BB465F1"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62B7B31A"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bCs/>
                <w:sz w:val="22"/>
                <w:szCs w:val="22"/>
                <w:lang w:val="en-GB" w:eastAsia="en-US"/>
              </w:rPr>
              <w:t>Based on the Jordan National Single Window successful experience, the project supported the drafting of a Memorandum of Understanding for Authorized Economic Operators (AEOs) at the regional level in close coordination with the LAS Arab Economic Department. The draft was submitted to the Customs Procedures Working Group.</w:t>
            </w:r>
          </w:p>
        </w:tc>
      </w:tr>
      <w:tr w:rsidR="00A43CAF" w:rsidRPr="001E4C46" w14:paraId="127DD71A" w14:textId="77777777" w:rsidTr="001E4C46">
        <w:tc>
          <w:tcPr>
            <w:tcW w:w="2487" w:type="dxa"/>
            <w:vMerge/>
          </w:tcPr>
          <w:p w14:paraId="1F4ABDC2"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115E728D"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 xml:space="preserve">4.3 Prepare the guidelines of the mutual administrative recognition </w:t>
            </w:r>
            <w:proofErr w:type="gramStart"/>
            <w:r w:rsidRPr="001E4C46">
              <w:rPr>
                <w:rFonts w:ascii="Calibri" w:eastAsia="Times New Roman" w:hAnsi="Calibri" w:cs="Calibri"/>
                <w:sz w:val="22"/>
                <w:szCs w:val="22"/>
                <w:lang w:val="en-GB" w:eastAsia="en-US"/>
              </w:rPr>
              <w:t>on the basis of</w:t>
            </w:r>
            <w:proofErr w:type="gramEnd"/>
            <w:r w:rsidRPr="001E4C46">
              <w:rPr>
                <w:rFonts w:ascii="Calibri" w:eastAsia="Times New Roman" w:hAnsi="Calibri" w:cs="Calibri"/>
                <w:sz w:val="22"/>
                <w:szCs w:val="22"/>
                <w:lang w:val="en-GB" w:eastAsia="en-US"/>
              </w:rPr>
              <w:t xml:space="preserve"> international conventions and practices.</w:t>
            </w:r>
          </w:p>
        </w:tc>
        <w:tc>
          <w:tcPr>
            <w:tcW w:w="387" w:type="dxa"/>
          </w:tcPr>
          <w:p w14:paraId="6F5D521A"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54" w:type="dxa"/>
          </w:tcPr>
          <w:p w14:paraId="6A23A934"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751F102C"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43BC517C"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2A8ED24C"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442675B1"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Guidelines on mutual recognition were included in the Authorized Economic Operators Memorandum of Understanding.</w:t>
            </w:r>
          </w:p>
        </w:tc>
      </w:tr>
      <w:tr w:rsidR="00A43CAF" w:rsidRPr="001E4C46" w14:paraId="022BE871" w14:textId="77777777" w:rsidTr="001E4C46">
        <w:tc>
          <w:tcPr>
            <w:tcW w:w="2487" w:type="dxa"/>
            <w:vMerge/>
          </w:tcPr>
          <w:p w14:paraId="00B1C515"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3EE278CA"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4.4 Conduct technical evaluation and consultations for the review of operations of Port Net of for the stage 2 of Moroccan Single Window</w:t>
            </w:r>
          </w:p>
        </w:tc>
        <w:tc>
          <w:tcPr>
            <w:tcW w:w="387" w:type="dxa"/>
          </w:tcPr>
          <w:p w14:paraId="1140C623"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54" w:type="dxa"/>
          </w:tcPr>
          <w:p w14:paraId="7CFDE91B"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33E49A15"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63F7F969"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3B280C8F"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0A769482"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The Moroccan Single Window/</w:t>
            </w:r>
            <w:proofErr w:type="spellStart"/>
            <w:r w:rsidRPr="001E4C46">
              <w:rPr>
                <w:rFonts w:ascii="Calibri" w:eastAsia="Times New Roman" w:hAnsi="Calibri" w:cs="Calibri"/>
                <w:sz w:val="22"/>
                <w:szCs w:val="22"/>
                <w:lang w:val="en-GB" w:eastAsia="en-US"/>
              </w:rPr>
              <w:t>PortNet</w:t>
            </w:r>
            <w:proofErr w:type="spellEnd"/>
            <w:r w:rsidRPr="001E4C46">
              <w:rPr>
                <w:rFonts w:ascii="Calibri" w:eastAsia="Times New Roman" w:hAnsi="Calibri" w:cs="Calibri"/>
                <w:sz w:val="22"/>
                <w:szCs w:val="22"/>
                <w:lang w:val="en-GB" w:eastAsia="en-US"/>
              </w:rPr>
              <w:t xml:space="preserve"> was reviewed to assess the facility capacity to support supply chains and compliance with PAFTA provisions for trade in goods. The assessment informed the dematerialization of border control in line with the upgraded protocol of PAFTA.</w:t>
            </w:r>
          </w:p>
        </w:tc>
      </w:tr>
      <w:tr w:rsidR="00A43CAF" w:rsidRPr="001E4C46" w14:paraId="4E4D905F" w14:textId="77777777" w:rsidTr="001E4C46">
        <w:tc>
          <w:tcPr>
            <w:tcW w:w="2487" w:type="dxa"/>
            <w:vMerge/>
          </w:tcPr>
          <w:p w14:paraId="6980E6C7"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11225530"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 xml:space="preserve">4.5 Follow-up on the activation of the </w:t>
            </w:r>
            <w:proofErr w:type="spellStart"/>
            <w:r w:rsidRPr="001E4C46">
              <w:rPr>
                <w:rFonts w:ascii="Calibri" w:eastAsia="Times New Roman" w:hAnsi="Calibri" w:cs="Calibri"/>
                <w:sz w:val="22"/>
                <w:szCs w:val="22"/>
                <w:lang w:val="en-GB" w:eastAsia="en-US"/>
              </w:rPr>
              <w:t>Nuweibae</w:t>
            </w:r>
            <w:proofErr w:type="spellEnd"/>
            <w:r w:rsidRPr="001E4C46">
              <w:rPr>
                <w:rFonts w:ascii="Calibri" w:eastAsia="Times New Roman" w:hAnsi="Calibri" w:cs="Calibri"/>
                <w:sz w:val="22"/>
                <w:szCs w:val="22"/>
                <w:lang w:val="en-GB" w:eastAsia="en-US"/>
              </w:rPr>
              <w:t>-Aqaba Pilot, including the finalization of the MOU based on consultations with border management authorities in Egypt and Jordan.</w:t>
            </w:r>
          </w:p>
        </w:tc>
        <w:tc>
          <w:tcPr>
            <w:tcW w:w="387" w:type="dxa"/>
          </w:tcPr>
          <w:p w14:paraId="6D2AC456"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54" w:type="dxa"/>
          </w:tcPr>
          <w:p w14:paraId="1CBB1666"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505703F9"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354034C9"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7B35C7E0"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5941D9CE"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 xml:space="preserve">the </w:t>
            </w:r>
            <w:proofErr w:type="spellStart"/>
            <w:r w:rsidRPr="001E4C46">
              <w:rPr>
                <w:rFonts w:ascii="Calibri" w:eastAsia="Times New Roman" w:hAnsi="Calibri" w:cs="Calibri"/>
                <w:sz w:val="22"/>
                <w:szCs w:val="22"/>
                <w:lang w:val="en-GB" w:eastAsia="en-US"/>
              </w:rPr>
              <w:t>Nuweibae</w:t>
            </w:r>
            <w:proofErr w:type="spellEnd"/>
            <w:r w:rsidRPr="001E4C46">
              <w:rPr>
                <w:rFonts w:ascii="Calibri" w:eastAsia="Times New Roman" w:hAnsi="Calibri" w:cs="Calibri"/>
                <w:sz w:val="22"/>
                <w:szCs w:val="22"/>
                <w:lang w:val="en-GB" w:eastAsia="en-US"/>
              </w:rPr>
              <w:t>-Aqaba Pilot was put on hold at the onset of the COVID-19 pandemic due to the imposed restrictions and a change in priorities. Despite several attempts, work on the MOU could not be resumed within the duration of the project.</w:t>
            </w:r>
          </w:p>
        </w:tc>
      </w:tr>
      <w:tr w:rsidR="00A43CAF" w:rsidRPr="001E4C46" w14:paraId="64CB9BAB" w14:textId="77777777" w:rsidTr="001E4C46">
        <w:trPr>
          <w:trHeight w:val="760"/>
        </w:trPr>
        <w:tc>
          <w:tcPr>
            <w:tcW w:w="2487" w:type="dxa"/>
            <w:vMerge/>
          </w:tcPr>
          <w:p w14:paraId="10A872DE"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294B66C5"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 xml:space="preserve">4.6 </w:t>
            </w:r>
            <w:bookmarkStart w:id="231" w:name="_Hlk73890670"/>
            <w:r w:rsidRPr="001E4C46">
              <w:rPr>
                <w:rFonts w:ascii="Calibri" w:eastAsia="Times New Roman" w:hAnsi="Calibri" w:cs="Calibri"/>
                <w:sz w:val="22"/>
                <w:szCs w:val="22"/>
                <w:lang w:val="en-GB" w:eastAsia="en-US"/>
              </w:rPr>
              <w:t>Complete the development of Jordan Licensing Hub within Jordan National Single Window.</w:t>
            </w:r>
            <w:bookmarkEnd w:id="231"/>
          </w:p>
        </w:tc>
        <w:tc>
          <w:tcPr>
            <w:tcW w:w="387" w:type="dxa"/>
          </w:tcPr>
          <w:p w14:paraId="4CB26F47"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54" w:type="dxa"/>
          </w:tcPr>
          <w:p w14:paraId="7463DD38"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362A92CC"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385" w:type="dxa"/>
          </w:tcPr>
          <w:p w14:paraId="1A4E73DA"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663" w:type="dxa"/>
          </w:tcPr>
          <w:p w14:paraId="4EBF4092"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3367" w:type="dxa"/>
          </w:tcPr>
          <w:p w14:paraId="1A1CFABB"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The Jordan Licencing Hub development was completed in March 2022 and handed over to the Jordanian Customs. A case study on this experience is available in Annex 3.</w:t>
            </w:r>
          </w:p>
        </w:tc>
      </w:tr>
      <w:tr w:rsidR="00A43CAF" w:rsidRPr="001E4C46" w14:paraId="16464129" w14:textId="77777777" w:rsidTr="001E4C46">
        <w:trPr>
          <w:trHeight w:val="588"/>
        </w:trPr>
        <w:tc>
          <w:tcPr>
            <w:tcW w:w="2487" w:type="dxa"/>
            <w:vMerge/>
          </w:tcPr>
          <w:p w14:paraId="721FD0C0"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49984997"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 xml:space="preserve">4.7 </w:t>
            </w:r>
            <w:bookmarkStart w:id="232" w:name="_Hlk73890727"/>
            <w:r w:rsidRPr="001E4C46">
              <w:rPr>
                <w:rFonts w:ascii="Calibri" w:eastAsia="Times New Roman" w:hAnsi="Calibri" w:cs="Calibri"/>
                <w:sz w:val="22"/>
                <w:szCs w:val="22"/>
                <w:lang w:val="en-GB" w:eastAsia="en-US"/>
              </w:rPr>
              <w:t xml:space="preserve">Exchange mission on the application of Authorized Economic Operators and Trade </w:t>
            </w:r>
            <w:r w:rsidRPr="001E4C46">
              <w:rPr>
                <w:rFonts w:ascii="Calibri" w:eastAsia="Times New Roman" w:hAnsi="Calibri" w:cs="Calibri"/>
                <w:sz w:val="22"/>
                <w:szCs w:val="22"/>
                <w:lang w:val="en-GB" w:eastAsia="en-US"/>
              </w:rPr>
              <w:lastRenderedPageBreak/>
              <w:t>Facilitation policies like pre-arrival clearance of shipments for Least Developed Countries like Palestine, Sudan</w:t>
            </w:r>
            <w:bookmarkEnd w:id="232"/>
          </w:p>
        </w:tc>
        <w:tc>
          <w:tcPr>
            <w:tcW w:w="387" w:type="dxa"/>
          </w:tcPr>
          <w:p w14:paraId="724BF8CC" w14:textId="77777777" w:rsidR="00A43CAF" w:rsidRPr="001E4C46" w:rsidRDefault="00A43CAF" w:rsidP="00A43CAF">
            <w:pPr>
              <w:rPr>
                <w:rFonts w:ascii="Calibri" w:eastAsia="Times New Roman" w:hAnsi="Calibri" w:cs="Calibri"/>
                <w:sz w:val="22"/>
                <w:szCs w:val="22"/>
                <w:lang w:val="en-GB" w:eastAsia="en-US"/>
              </w:rPr>
            </w:pPr>
          </w:p>
        </w:tc>
        <w:tc>
          <w:tcPr>
            <w:tcW w:w="454" w:type="dxa"/>
          </w:tcPr>
          <w:p w14:paraId="6794AD3B" w14:textId="77777777" w:rsidR="00A43CAF" w:rsidRPr="001E4C46" w:rsidRDefault="00A43CAF" w:rsidP="00A43CAF">
            <w:pPr>
              <w:rPr>
                <w:rFonts w:ascii="Calibri" w:eastAsia="Times New Roman" w:hAnsi="Calibri" w:cs="Calibri"/>
                <w:sz w:val="22"/>
                <w:szCs w:val="22"/>
                <w:lang w:val="en-GB" w:eastAsia="en-US"/>
              </w:rPr>
            </w:pPr>
          </w:p>
        </w:tc>
        <w:tc>
          <w:tcPr>
            <w:tcW w:w="414" w:type="dxa"/>
          </w:tcPr>
          <w:p w14:paraId="4DC6ABD7"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385" w:type="dxa"/>
          </w:tcPr>
          <w:p w14:paraId="59BB372A"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663" w:type="dxa"/>
          </w:tcPr>
          <w:p w14:paraId="7E401AD9"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7C52F9CE"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 xml:space="preserve">In November 2021, a capacity development workshop for the Palestine Customs was organised in Amman under the aegis of the </w:t>
            </w:r>
            <w:r w:rsidRPr="001E4C46">
              <w:rPr>
                <w:rFonts w:ascii="Calibri" w:eastAsia="Times New Roman" w:hAnsi="Calibri" w:cs="Calibri"/>
                <w:sz w:val="22"/>
                <w:szCs w:val="22"/>
                <w:lang w:val="en-GB" w:eastAsia="en-US"/>
              </w:rPr>
              <w:lastRenderedPageBreak/>
              <w:t>Jordanian Customs. Palestinian officers learned first-hand from the Jordanian experiences on Authorized Economic Operators and the National Single Window.</w:t>
            </w:r>
          </w:p>
        </w:tc>
      </w:tr>
      <w:tr w:rsidR="00AB1B5A" w:rsidRPr="001E4C46" w14:paraId="2BC45951" w14:textId="77777777" w:rsidTr="00AB1B5A">
        <w:trPr>
          <w:trHeight w:val="498"/>
        </w:trPr>
        <w:tc>
          <w:tcPr>
            <w:tcW w:w="10773" w:type="dxa"/>
            <w:gridSpan w:val="8"/>
          </w:tcPr>
          <w:p w14:paraId="75C543BB" w14:textId="17DAB933" w:rsidR="00AB1B5A" w:rsidRPr="001E4C46" w:rsidRDefault="00AB1B5A" w:rsidP="00A43CAF">
            <w:pPr>
              <w:rPr>
                <w:rFonts w:ascii="Calibri" w:eastAsia="Times New Roman" w:hAnsi="Calibri" w:cs="Calibri"/>
                <w:sz w:val="22"/>
                <w:szCs w:val="22"/>
                <w:lang w:val="en-GB" w:eastAsia="en-US"/>
              </w:rPr>
            </w:pPr>
            <w:r w:rsidRPr="00AB1B5A">
              <w:rPr>
                <w:rFonts w:ascii="Calibri" w:eastAsia="Times New Roman" w:hAnsi="Calibri" w:cs="Calibri"/>
                <w:b/>
                <w:bCs/>
                <w:sz w:val="22"/>
                <w:szCs w:val="22"/>
                <w:lang w:val="en-GB" w:eastAsia="en-US"/>
              </w:rPr>
              <w:lastRenderedPageBreak/>
              <w:t>Outcome 3</w:t>
            </w:r>
            <w:r w:rsidRPr="00AB1B5A">
              <w:rPr>
                <w:rFonts w:ascii="Calibri" w:eastAsia="Times New Roman" w:hAnsi="Calibri" w:cs="Calibri"/>
                <w:b/>
                <w:bCs/>
                <w:sz w:val="22"/>
                <w:szCs w:val="22"/>
                <w:lang w:val="en-GB" w:eastAsia="en-US"/>
              </w:rPr>
              <w:tab/>
              <w:t>Engagement of key development actors ensured through inclusive and transparent processes for regional economic integration</w:t>
            </w:r>
          </w:p>
        </w:tc>
      </w:tr>
      <w:tr w:rsidR="00A43CAF" w:rsidRPr="001E4C46" w14:paraId="7A48EB8D" w14:textId="77777777" w:rsidTr="001E4C46">
        <w:trPr>
          <w:trHeight w:val="971"/>
        </w:trPr>
        <w:tc>
          <w:tcPr>
            <w:tcW w:w="2487" w:type="dxa"/>
            <w:vMerge w:val="restart"/>
          </w:tcPr>
          <w:p w14:paraId="203E75F9" w14:textId="77777777" w:rsidR="00A43CAF" w:rsidRPr="001E4C46" w:rsidRDefault="00A43CAF" w:rsidP="00A43CAF">
            <w:pPr>
              <w:jc w:val="both"/>
              <w:rPr>
                <w:rFonts w:ascii="Calibri" w:eastAsia="Times New Roman" w:hAnsi="Calibri" w:cs="Calibri"/>
                <w:b/>
                <w:bCs/>
                <w:sz w:val="22"/>
                <w:szCs w:val="22"/>
                <w:lang w:val="en-GB" w:eastAsia="en-US"/>
              </w:rPr>
            </w:pPr>
            <w:r w:rsidRPr="001E4C46">
              <w:rPr>
                <w:rFonts w:ascii="Calibri" w:eastAsia="Times New Roman" w:hAnsi="Calibri" w:cs="Calibri"/>
                <w:b/>
                <w:bCs/>
                <w:sz w:val="22"/>
                <w:szCs w:val="22"/>
                <w:lang w:val="en-GB" w:eastAsia="en-US"/>
              </w:rPr>
              <w:t xml:space="preserve">Output 5: </w:t>
            </w:r>
            <w:bookmarkStart w:id="233" w:name="_Hlk73890810"/>
            <w:r w:rsidRPr="001E4C46">
              <w:rPr>
                <w:rFonts w:ascii="Calibri" w:eastAsia="Times New Roman" w:hAnsi="Calibri" w:cs="Calibri"/>
                <w:b/>
                <w:bCs/>
                <w:sz w:val="22"/>
                <w:szCs w:val="22"/>
                <w:lang w:val="en-GB" w:eastAsia="en-US"/>
              </w:rPr>
              <w:t>Improvement of related regulatory frameworks for integrity, aiming for good governance for trade development measures</w:t>
            </w:r>
            <w:bookmarkEnd w:id="233"/>
          </w:p>
        </w:tc>
        <w:tc>
          <w:tcPr>
            <w:tcW w:w="2616" w:type="dxa"/>
          </w:tcPr>
          <w:p w14:paraId="17408E27"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5.1 Conduct analysis of operational procedures in Customs and cross border in one Arab country to identify potential exposure to risk of corruption and inform a regional discussion on the improvement of performance in the control of cross border operations.</w:t>
            </w:r>
          </w:p>
        </w:tc>
        <w:tc>
          <w:tcPr>
            <w:tcW w:w="387" w:type="dxa"/>
          </w:tcPr>
          <w:p w14:paraId="229A2697"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54" w:type="dxa"/>
          </w:tcPr>
          <w:p w14:paraId="0EC74015"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0CF21536"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3E247935"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184AAFC3"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04458696"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The project produced an analysis of corruption-risk exposure in Customs’ and cross border authorities’ operational procedures in Jordan, covering 96 business processes, and providing recommendations to upgrade efforts in anti-corruption based on international instruments. Its publication is still pending the approval of relevant Customs authorities in Jordan.</w:t>
            </w:r>
          </w:p>
        </w:tc>
      </w:tr>
      <w:tr w:rsidR="00A43CAF" w:rsidRPr="001E4C46" w14:paraId="04AA7981" w14:textId="77777777" w:rsidTr="001E4C46">
        <w:trPr>
          <w:trHeight w:val="971"/>
        </w:trPr>
        <w:tc>
          <w:tcPr>
            <w:tcW w:w="2487" w:type="dxa"/>
            <w:vMerge/>
          </w:tcPr>
          <w:p w14:paraId="5A816FDD" w14:textId="77777777" w:rsidR="00A43CAF" w:rsidRPr="001E4C46" w:rsidRDefault="00A43CAF" w:rsidP="00A43CAF">
            <w:pPr>
              <w:jc w:val="both"/>
              <w:rPr>
                <w:rFonts w:ascii="Calibri" w:eastAsia="Times New Roman" w:hAnsi="Calibri" w:cs="Calibri"/>
                <w:b/>
                <w:bCs/>
                <w:sz w:val="22"/>
                <w:szCs w:val="22"/>
                <w:lang w:val="en-GB" w:eastAsia="en-US"/>
              </w:rPr>
            </w:pPr>
          </w:p>
        </w:tc>
        <w:tc>
          <w:tcPr>
            <w:tcW w:w="2616" w:type="dxa"/>
          </w:tcPr>
          <w:p w14:paraId="32AD6400"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5.2 Hold a virtual workshop to showcase tools to guide policy makers in Arab countries on how to identify and respond to corruption risks and integrity challenges in trade policies.</w:t>
            </w:r>
          </w:p>
        </w:tc>
        <w:tc>
          <w:tcPr>
            <w:tcW w:w="387" w:type="dxa"/>
          </w:tcPr>
          <w:p w14:paraId="40E2315C"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54" w:type="dxa"/>
          </w:tcPr>
          <w:p w14:paraId="408C7CB3" w14:textId="77777777" w:rsidR="00A43CAF" w:rsidRPr="001E4C46" w:rsidRDefault="00A43CAF" w:rsidP="00A43CAF">
            <w:pPr>
              <w:rPr>
                <w:rFonts w:ascii="Calibri" w:eastAsia="Times New Roman" w:hAnsi="Calibri" w:cs="Calibri"/>
                <w:sz w:val="22"/>
                <w:szCs w:val="22"/>
                <w:lang w:val="en-GB" w:eastAsia="en-US"/>
              </w:rPr>
            </w:pPr>
          </w:p>
        </w:tc>
        <w:tc>
          <w:tcPr>
            <w:tcW w:w="414" w:type="dxa"/>
          </w:tcPr>
          <w:p w14:paraId="6898B68B"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459FD254"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1F54C692"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125291A7"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 xml:space="preserve">The planned virtual workshop did not take place, pending the approval of the Jordan Customs to release the results of the study. </w:t>
            </w:r>
          </w:p>
        </w:tc>
      </w:tr>
      <w:tr w:rsidR="00A43CAF" w:rsidRPr="001E4C46" w14:paraId="7B453A16" w14:textId="77777777" w:rsidTr="001E4C46">
        <w:tc>
          <w:tcPr>
            <w:tcW w:w="2487" w:type="dxa"/>
            <w:vMerge/>
          </w:tcPr>
          <w:p w14:paraId="1B04086E"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04C43124"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5.3 Document and share implementation experiences for South-South cooperation through lessons learned</w:t>
            </w:r>
          </w:p>
        </w:tc>
        <w:tc>
          <w:tcPr>
            <w:tcW w:w="387" w:type="dxa"/>
          </w:tcPr>
          <w:p w14:paraId="759DE8FF" w14:textId="77777777" w:rsidR="00A43CAF" w:rsidRPr="001E4C46" w:rsidRDefault="00A43CAF" w:rsidP="00A43CAF">
            <w:pPr>
              <w:rPr>
                <w:rFonts w:ascii="Calibri" w:eastAsia="Times New Roman" w:hAnsi="Calibri" w:cs="Calibri"/>
                <w:sz w:val="22"/>
                <w:szCs w:val="22"/>
                <w:lang w:val="en-GB" w:eastAsia="en-US"/>
              </w:rPr>
            </w:pPr>
          </w:p>
        </w:tc>
        <w:tc>
          <w:tcPr>
            <w:tcW w:w="454" w:type="dxa"/>
          </w:tcPr>
          <w:p w14:paraId="4600844F" w14:textId="77777777" w:rsidR="00A43CAF" w:rsidRPr="001E4C46" w:rsidRDefault="00A43CAF" w:rsidP="00A43CAF">
            <w:pPr>
              <w:rPr>
                <w:rFonts w:ascii="Calibri" w:eastAsia="Times New Roman" w:hAnsi="Calibri" w:cs="Calibri"/>
                <w:sz w:val="22"/>
                <w:szCs w:val="22"/>
                <w:lang w:val="en-GB" w:eastAsia="en-US"/>
              </w:rPr>
            </w:pPr>
          </w:p>
        </w:tc>
        <w:tc>
          <w:tcPr>
            <w:tcW w:w="414" w:type="dxa"/>
          </w:tcPr>
          <w:p w14:paraId="1CE0A657"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385" w:type="dxa"/>
          </w:tcPr>
          <w:p w14:paraId="715A10B3"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663" w:type="dxa"/>
          </w:tcPr>
          <w:p w14:paraId="273F8C9A"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4C01C73D"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The transfer of knowledge on the operationalization of the National Single Window from the Jordanian Customs to the Palestinian Customs (activity 4.7) and the engagement of Lebanese free-trade experts to enhance the expert potential of Moroccan women-lead initiatives (activity 6.3) were the most significant South-South cooperation achievement in 2021.</w:t>
            </w:r>
          </w:p>
        </w:tc>
      </w:tr>
      <w:tr w:rsidR="00A43CAF" w:rsidRPr="001E4C46" w14:paraId="571F8B5C" w14:textId="77777777" w:rsidTr="001E4C46">
        <w:tc>
          <w:tcPr>
            <w:tcW w:w="2487" w:type="dxa"/>
            <w:vMerge/>
          </w:tcPr>
          <w:p w14:paraId="29D25069"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04638DB6"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5.3.1 Develop a case-study on the modernization of the supply chain in the Jordanian Trade Licensing Hub</w:t>
            </w:r>
          </w:p>
        </w:tc>
        <w:tc>
          <w:tcPr>
            <w:tcW w:w="387" w:type="dxa"/>
          </w:tcPr>
          <w:p w14:paraId="7A40301E" w14:textId="77777777" w:rsidR="00A43CAF" w:rsidRPr="001E4C46" w:rsidRDefault="00A43CAF" w:rsidP="00A43CAF">
            <w:pPr>
              <w:rPr>
                <w:rFonts w:ascii="Calibri" w:eastAsia="Times New Roman" w:hAnsi="Calibri" w:cs="Calibri"/>
                <w:sz w:val="22"/>
                <w:szCs w:val="22"/>
                <w:lang w:val="en-GB" w:eastAsia="en-US"/>
              </w:rPr>
            </w:pPr>
          </w:p>
        </w:tc>
        <w:tc>
          <w:tcPr>
            <w:tcW w:w="454" w:type="dxa"/>
          </w:tcPr>
          <w:p w14:paraId="0B82E729" w14:textId="77777777" w:rsidR="00A43CAF" w:rsidRPr="001E4C46" w:rsidRDefault="00A43CAF" w:rsidP="00A43CAF">
            <w:pPr>
              <w:rPr>
                <w:rFonts w:ascii="Calibri" w:eastAsia="Times New Roman" w:hAnsi="Calibri" w:cs="Calibri"/>
                <w:sz w:val="22"/>
                <w:szCs w:val="22"/>
                <w:lang w:val="en-GB" w:eastAsia="en-US"/>
              </w:rPr>
            </w:pPr>
          </w:p>
        </w:tc>
        <w:tc>
          <w:tcPr>
            <w:tcW w:w="414" w:type="dxa"/>
          </w:tcPr>
          <w:p w14:paraId="37EAD7E7"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476981C0"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663" w:type="dxa"/>
          </w:tcPr>
          <w:p w14:paraId="35A36B82"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3367" w:type="dxa"/>
          </w:tcPr>
          <w:p w14:paraId="59601C03"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The case study has been finalized and it is available in Annex 3.</w:t>
            </w:r>
          </w:p>
        </w:tc>
      </w:tr>
      <w:tr w:rsidR="00A43CAF" w:rsidRPr="001E4C46" w14:paraId="3B4EEE25" w14:textId="77777777" w:rsidTr="001E4C46">
        <w:tc>
          <w:tcPr>
            <w:tcW w:w="2487" w:type="dxa"/>
            <w:vMerge/>
          </w:tcPr>
          <w:p w14:paraId="70323451"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510DF6D8"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5.3.2 Develop a case-study on mainstreaming trade in service in Arab countries- Operationalization of the Arab Agreement in Trade in Services</w:t>
            </w:r>
          </w:p>
        </w:tc>
        <w:tc>
          <w:tcPr>
            <w:tcW w:w="387" w:type="dxa"/>
          </w:tcPr>
          <w:p w14:paraId="1FC39A35" w14:textId="77777777" w:rsidR="00A43CAF" w:rsidRPr="001E4C46" w:rsidRDefault="00A43CAF" w:rsidP="00A43CAF">
            <w:pPr>
              <w:rPr>
                <w:rFonts w:ascii="Calibri" w:eastAsia="Times New Roman" w:hAnsi="Calibri" w:cs="Calibri"/>
                <w:sz w:val="22"/>
                <w:szCs w:val="22"/>
                <w:lang w:val="en-GB" w:eastAsia="en-US"/>
              </w:rPr>
            </w:pPr>
          </w:p>
        </w:tc>
        <w:tc>
          <w:tcPr>
            <w:tcW w:w="454" w:type="dxa"/>
          </w:tcPr>
          <w:p w14:paraId="2DFF9FA6" w14:textId="77777777" w:rsidR="00A43CAF" w:rsidRPr="001E4C46" w:rsidRDefault="00A43CAF" w:rsidP="00A43CAF">
            <w:pPr>
              <w:rPr>
                <w:rFonts w:ascii="Calibri" w:eastAsia="Times New Roman" w:hAnsi="Calibri" w:cs="Calibri"/>
                <w:sz w:val="22"/>
                <w:szCs w:val="22"/>
                <w:lang w:val="en-GB" w:eastAsia="en-US"/>
              </w:rPr>
            </w:pPr>
          </w:p>
        </w:tc>
        <w:tc>
          <w:tcPr>
            <w:tcW w:w="414" w:type="dxa"/>
          </w:tcPr>
          <w:p w14:paraId="429C6637"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050A2DB1"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663" w:type="dxa"/>
          </w:tcPr>
          <w:p w14:paraId="72878D61"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3367" w:type="dxa"/>
          </w:tcPr>
          <w:p w14:paraId="5547B746"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The case study has been finalized and it is available in Annex 2.</w:t>
            </w:r>
          </w:p>
        </w:tc>
      </w:tr>
      <w:tr w:rsidR="00A43CAF" w:rsidRPr="001E4C46" w14:paraId="25901939" w14:textId="77777777" w:rsidTr="001E4C46">
        <w:tc>
          <w:tcPr>
            <w:tcW w:w="2487" w:type="dxa"/>
            <w:vMerge/>
          </w:tcPr>
          <w:p w14:paraId="5E12C2A1"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10C17561"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5.3.3 Produce the Video Illustration on Arab Economic Integration in facilitating trade and supply chain</w:t>
            </w:r>
          </w:p>
        </w:tc>
        <w:tc>
          <w:tcPr>
            <w:tcW w:w="387" w:type="dxa"/>
          </w:tcPr>
          <w:p w14:paraId="68C0CA60" w14:textId="77777777" w:rsidR="00A43CAF" w:rsidRPr="001E4C46" w:rsidRDefault="00A43CAF" w:rsidP="00A43CAF">
            <w:pPr>
              <w:rPr>
                <w:rFonts w:ascii="Calibri" w:eastAsia="Times New Roman" w:hAnsi="Calibri" w:cs="Calibri"/>
                <w:sz w:val="22"/>
                <w:szCs w:val="22"/>
                <w:lang w:val="en-GB" w:eastAsia="en-US"/>
              </w:rPr>
            </w:pPr>
          </w:p>
        </w:tc>
        <w:tc>
          <w:tcPr>
            <w:tcW w:w="454" w:type="dxa"/>
          </w:tcPr>
          <w:p w14:paraId="4720B14C" w14:textId="77777777" w:rsidR="00A43CAF" w:rsidRPr="001E4C46" w:rsidRDefault="00A43CAF" w:rsidP="00A43CAF">
            <w:pPr>
              <w:rPr>
                <w:rFonts w:ascii="Calibri" w:eastAsia="Times New Roman" w:hAnsi="Calibri" w:cs="Calibri"/>
                <w:sz w:val="22"/>
                <w:szCs w:val="22"/>
                <w:lang w:val="en-GB" w:eastAsia="en-US"/>
              </w:rPr>
            </w:pPr>
          </w:p>
        </w:tc>
        <w:tc>
          <w:tcPr>
            <w:tcW w:w="414" w:type="dxa"/>
          </w:tcPr>
          <w:p w14:paraId="4C3E8414"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155DDA72"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663" w:type="dxa"/>
          </w:tcPr>
          <w:p w14:paraId="4C91FF76"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1802269D"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The video was not finalized before the end of the project, but UNDP is still planning to produce it, in cooperation with the Jordan Customs.</w:t>
            </w:r>
          </w:p>
        </w:tc>
      </w:tr>
      <w:tr w:rsidR="00A43CAF" w:rsidRPr="001E4C46" w14:paraId="323C8D86" w14:textId="77777777" w:rsidTr="001E4C46">
        <w:trPr>
          <w:trHeight w:val="2078"/>
        </w:trPr>
        <w:tc>
          <w:tcPr>
            <w:tcW w:w="2487" w:type="dxa"/>
          </w:tcPr>
          <w:p w14:paraId="24245E6D" w14:textId="77777777" w:rsidR="00A43CAF" w:rsidRPr="001E4C46" w:rsidRDefault="00A43CAF" w:rsidP="00A43CAF">
            <w:pPr>
              <w:jc w:val="both"/>
              <w:rPr>
                <w:rFonts w:ascii="Calibri" w:eastAsia="Times New Roman" w:hAnsi="Calibri" w:cs="Calibri"/>
                <w:b/>
                <w:bCs/>
                <w:sz w:val="22"/>
                <w:szCs w:val="22"/>
                <w:lang w:val="en-GB" w:eastAsia="en-US"/>
              </w:rPr>
            </w:pPr>
            <w:r w:rsidRPr="001E4C46">
              <w:rPr>
                <w:rFonts w:ascii="Calibri" w:eastAsia="Times New Roman" w:hAnsi="Calibri" w:cs="Calibri"/>
                <w:b/>
                <w:bCs/>
                <w:sz w:val="22"/>
                <w:szCs w:val="22"/>
                <w:lang w:val="en-GB" w:eastAsia="en-US"/>
              </w:rPr>
              <w:t xml:space="preserve">Output 6: </w:t>
            </w:r>
            <w:bookmarkStart w:id="234" w:name="_Hlk73891120"/>
            <w:r w:rsidRPr="001E4C46">
              <w:rPr>
                <w:rFonts w:ascii="Calibri" w:eastAsia="Times New Roman" w:hAnsi="Calibri" w:cs="Calibri"/>
                <w:b/>
                <w:bCs/>
                <w:sz w:val="22"/>
                <w:szCs w:val="22"/>
                <w:lang w:val="en-GB" w:eastAsia="en-US"/>
              </w:rPr>
              <w:t xml:space="preserve">Supporting gender responsive mechanisms to ensure systematic integration of gender sensitivities in trade </w:t>
            </w:r>
            <w:proofErr w:type="gramStart"/>
            <w:r w:rsidRPr="001E4C46">
              <w:rPr>
                <w:rFonts w:ascii="Calibri" w:eastAsia="Times New Roman" w:hAnsi="Calibri" w:cs="Calibri"/>
                <w:b/>
                <w:bCs/>
                <w:sz w:val="22"/>
                <w:szCs w:val="22"/>
                <w:lang w:val="en-GB" w:eastAsia="en-US"/>
              </w:rPr>
              <w:t>policy-making</w:t>
            </w:r>
            <w:proofErr w:type="gramEnd"/>
            <w:r w:rsidRPr="001E4C46">
              <w:rPr>
                <w:rFonts w:ascii="Calibri" w:eastAsia="Times New Roman" w:hAnsi="Calibri" w:cs="Calibri"/>
                <w:b/>
                <w:bCs/>
                <w:sz w:val="22"/>
                <w:szCs w:val="22"/>
                <w:lang w:val="en-GB" w:eastAsia="en-US"/>
              </w:rPr>
              <w:t xml:space="preserve"> and negotiations</w:t>
            </w:r>
            <w:bookmarkEnd w:id="234"/>
          </w:p>
          <w:p w14:paraId="22473059" w14:textId="77777777" w:rsidR="00A43CAF" w:rsidRPr="001E4C46" w:rsidRDefault="00A43CAF" w:rsidP="00A43CAF">
            <w:pPr>
              <w:jc w:val="both"/>
              <w:rPr>
                <w:rFonts w:ascii="Calibri" w:eastAsia="Times New Roman" w:hAnsi="Calibri" w:cs="Calibri"/>
                <w:b/>
                <w:bCs/>
                <w:sz w:val="22"/>
                <w:szCs w:val="22"/>
                <w:lang w:val="en-GB" w:eastAsia="en-US"/>
              </w:rPr>
            </w:pPr>
          </w:p>
          <w:p w14:paraId="20169B61" w14:textId="77777777" w:rsidR="00A43CAF" w:rsidRPr="001E4C46" w:rsidRDefault="00A43CAF" w:rsidP="00A43CAF">
            <w:pPr>
              <w:jc w:val="both"/>
              <w:rPr>
                <w:rFonts w:ascii="Calibri" w:eastAsia="Times New Roman" w:hAnsi="Calibri" w:cs="Calibri"/>
                <w:sz w:val="22"/>
                <w:szCs w:val="22"/>
                <w:lang w:val="en-GB" w:eastAsia="en-US"/>
              </w:rPr>
            </w:pPr>
          </w:p>
          <w:p w14:paraId="1E5391EF" w14:textId="77777777" w:rsidR="00A43CAF" w:rsidRPr="001E4C46" w:rsidRDefault="00A43CAF" w:rsidP="00A43CAF">
            <w:pPr>
              <w:jc w:val="both"/>
              <w:rPr>
                <w:rFonts w:ascii="Calibri" w:eastAsia="Times New Roman" w:hAnsi="Calibri" w:cs="Calibri"/>
                <w:sz w:val="22"/>
                <w:szCs w:val="22"/>
                <w:lang w:val="en-GB" w:eastAsia="en-US"/>
              </w:rPr>
            </w:pPr>
          </w:p>
          <w:p w14:paraId="0712526C" w14:textId="77777777" w:rsidR="00A43CAF" w:rsidRPr="001E4C46" w:rsidRDefault="00A43CAF" w:rsidP="00A43CAF">
            <w:pPr>
              <w:jc w:val="both"/>
              <w:rPr>
                <w:rFonts w:ascii="Calibri" w:eastAsia="Times New Roman" w:hAnsi="Calibri" w:cs="Calibri"/>
                <w:sz w:val="22"/>
                <w:szCs w:val="22"/>
                <w:lang w:val="en-GB" w:eastAsia="en-US"/>
              </w:rPr>
            </w:pPr>
          </w:p>
          <w:p w14:paraId="64F0AF7B" w14:textId="77777777" w:rsidR="00A43CAF" w:rsidRPr="001E4C46" w:rsidRDefault="00A43CAF" w:rsidP="00A43CAF">
            <w:pPr>
              <w:jc w:val="both"/>
              <w:rPr>
                <w:rFonts w:ascii="Calibri" w:eastAsia="Times New Roman" w:hAnsi="Calibri" w:cs="Calibri"/>
                <w:sz w:val="22"/>
                <w:szCs w:val="22"/>
                <w:lang w:val="en-GB" w:eastAsia="en-US"/>
              </w:rPr>
            </w:pPr>
          </w:p>
          <w:p w14:paraId="0088EF02" w14:textId="77777777" w:rsidR="00A43CAF" w:rsidRPr="001E4C46" w:rsidRDefault="00A43CAF" w:rsidP="00A43CAF">
            <w:pPr>
              <w:jc w:val="both"/>
              <w:rPr>
                <w:rFonts w:ascii="Calibri" w:eastAsia="Times New Roman" w:hAnsi="Calibri" w:cs="Calibri"/>
                <w:sz w:val="22"/>
                <w:szCs w:val="22"/>
                <w:lang w:val="en-GB" w:eastAsia="en-US"/>
              </w:rPr>
            </w:pPr>
          </w:p>
        </w:tc>
        <w:tc>
          <w:tcPr>
            <w:tcW w:w="2616" w:type="dxa"/>
          </w:tcPr>
          <w:p w14:paraId="2045D3BB" w14:textId="77777777" w:rsidR="00A43CAF" w:rsidRPr="001E4C46" w:rsidRDefault="00A43CAF" w:rsidP="00A43CAF">
            <w:pPr>
              <w:jc w:val="both"/>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6.1. Hold the regional multi-stakeholder validation workshop on gender and trade (</w:t>
            </w:r>
            <w:proofErr w:type="gramStart"/>
            <w:r w:rsidRPr="001E4C46">
              <w:rPr>
                <w:rFonts w:ascii="Calibri" w:eastAsia="Times New Roman" w:hAnsi="Calibri" w:cs="Calibri"/>
                <w:sz w:val="22"/>
                <w:szCs w:val="22"/>
                <w:lang w:val="en-GB" w:eastAsia="en-US"/>
              </w:rPr>
              <w:t>e.g.</w:t>
            </w:r>
            <w:proofErr w:type="gramEnd"/>
            <w:r w:rsidRPr="001E4C46">
              <w:rPr>
                <w:rFonts w:ascii="Calibri" w:eastAsia="Times New Roman" w:hAnsi="Calibri" w:cs="Calibri"/>
                <w:sz w:val="22"/>
                <w:szCs w:val="22"/>
                <w:lang w:val="en-GB" w:eastAsia="en-US"/>
              </w:rPr>
              <w:t xml:space="preserve"> addressing the challenge in the access to production resources, technical trainings, enhancement of social norms in looking at the contribution of women)</w:t>
            </w:r>
          </w:p>
        </w:tc>
        <w:tc>
          <w:tcPr>
            <w:tcW w:w="387" w:type="dxa"/>
          </w:tcPr>
          <w:p w14:paraId="31D862A9"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54" w:type="dxa"/>
          </w:tcPr>
          <w:p w14:paraId="554DB570"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21366930"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3F6E09FD"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7B82078C"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4668817E"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The Gender Trade Impact Assessment (GTIAs) was presented to Arab policy makers during a regional webinar in January 2021. The report applied an empirical economic analysis of business transactions affecting women in the context of relevant commitments in trade and economic cooperation preferential trade agreements. The analysis highlighted the gender blindness of trade policies in the region.</w:t>
            </w:r>
          </w:p>
        </w:tc>
      </w:tr>
      <w:tr w:rsidR="00A43CAF" w:rsidRPr="001E4C46" w14:paraId="6EBEDAF9" w14:textId="77777777" w:rsidTr="001E4C46">
        <w:tc>
          <w:tcPr>
            <w:tcW w:w="2487" w:type="dxa"/>
          </w:tcPr>
          <w:p w14:paraId="580E23D9" w14:textId="77777777" w:rsidR="00A43CAF" w:rsidRPr="001E4C46" w:rsidRDefault="00A43CAF" w:rsidP="00A43CAF">
            <w:pPr>
              <w:rPr>
                <w:rFonts w:ascii="Calibri" w:eastAsia="Times New Roman" w:hAnsi="Calibri" w:cs="Calibri"/>
                <w:sz w:val="22"/>
                <w:szCs w:val="22"/>
                <w:lang w:val="en-GB" w:eastAsia="en-US"/>
              </w:rPr>
            </w:pPr>
          </w:p>
        </w:tc>
        <w:tc>
          <w:tcPr>
            <w:tcW w:w="2616" w:type="dxa"/>
          </w:tcPr>
          <w:p w14:paraId="31821154"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6.2 Complete technical analysis on the Economic Empowerment of women in Morocco, with focus on women working at the cooperatives in Argan oil and related products</w:t>
            </w:r>
          </w:p>
        </w:tc>
        <w:tc>
          <w:tcPr>
            <w:tcW w:w="387" w:type="dxa"/>
          </w:tcPr>
          <w:p w14:paraId="65DF80A8"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54" w:type="dxa"/>
          </w:tcPr>
          <w:p w14:paraId="4A578F43"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X</w:t>
            </w:r>
          </w:p>
        </w:tc>
        <w:tc>
          <w:tcPr>
            <w:tcW w:w="414" w:type="dxa"/>
          </w:tcPr>
          <w:p w14:paraId="1C1FDC34" w14:textId="77777777" w:rsidR="00A43CAF" w:rsidRPr="001E4C46" w:rsidRDefault="00A43CAF" w:rsidP="00A43CAF">
            <w:pPr>
              <w:rPr>
                <w:rFonts w:ascii="Calibri" w:eastAsia="Times New Roman" w:hAnsi="Calibri" w:cs="Calibri"/>
                <w:sz w:val="22"/>
                <w:szCs w:val="22"/>
                <w:lang w:val="en-GB" w:eastAsia="en-US"/>
              </w:rPr>
            </w:pPr>
          </w:p>
        </w:tc>
        <w:tc>
          <w:tcPr>
            <w:tcW w:w="385" w:type="dxa"/>
          </w:tcPr>
          <w:p w14:paraId="0D4F68B9" w14:textId="77777777" w:rsidR="00A43CAF" w:rsidRPr="001E4C46" w:rsidRDefault="00A43CAF" w:rsidP="00A43CAF">
            <w:pPr>
              <w:rPr>
                <w:rFonts w:ascii="Calibri" w:eastAsia="Times New Roman" w:hAnsi="Calibri" w:cs="Calibri"/>
                <w:sz w:val="22"/>
                <w:szCs w:val="22"/>
                <w:lang w:val="en-GB" w:eastAsia="en-US"/>
              </w:rPr>
            </w:pPr>
          </w:p>
        </w:tc>
        <w:tc>
          <w:tcPr>
            <w:tcW w:w="663" w:type="dxa"/>
          </w:tcPr>
          <w:p w14:paraId="3A712CAB" w14:textId="77777777" w:rsidR="00A43CAF" w:rsidRPr="001E4C46" w:rsidRDefault="00A43CAF" w:rsidP="00A43CAF">
            <w:pPr>
              <w:rPr>
                <w:rFonts w:ascii="Calibri" w:eastAsia="Times New Roman" w:hAnsi="Calibri" w:cs="Calibri"/>
                <w:sz w:val="22"/>
                <w:szCs w:val="22"/>
                <w:lang w:val="en-GB" w:eastAsia="en-US"/>
              </w:rPr>
            </w:pPr>
          </w:p>
        </w:tc>
        <w:tc>
          <w:tcPr>
            <w:tcW w:w="3367" w:type="dxa"/>
          </w:tcPr>
          <w:p w14:paraId="22CB5D16" w14:textId="77777777" w:rsidR="00A43CAF" w:rsidRPr="001E4C46" w:rsidRDefault="00A43CAF" w:rsidP="00A43CAF">
            <w:pPr>
              <w:rPr>
                <w:rFonts w:ascii="Calibri" w:eastAsia="Times New Roman" w:hAnsi="Calibri" w:cs="Calibri"/>
                <w:sz w:val="22"/>
                <w:szCs w:val="22"/>
                <w:lang w:val="en-GB" w:eastAsia="en-US"/>
              </w:rPr>
            </w:pPr>
            <w:r w:rsidRPr="001E4C46">
              <w:rPr>
                <w:rFonts w:ascii="Calibri" w:eastAsia="Times New Roman" w:hAnsi="Calibri" w:cs="Calibri"/>
                <w:sz w:val="22"/>
                <w:szCs w:val="22"/>
                <w:lang w:val="en-GB" w:eastAsia="en-US"/>
              </w:rPr>
              <w:t>The analysis was completed within the assessment mentioned in activity 6.1. The study recommended collaborating with organisations such as the Network of Moroccan Businesswomen to foster their access to markets.</w:t>
            </w:r>
          </w:p>
        </w:tc>
      </w:tr>
    </w:tbl>
    <w:p w14:paraId="572129CA" w14:textId="77777777" w:rsidR="001E4C46" w:rsidRPr="001E4C46" w:rsidRDefault="001E4C46" w:rsidP="00B51FBB"/>
    <w:p w14:paraId="5DF515DE" w14:textId="77777777" w:rsidR="001E4C46" w:rsidRPr="001476EE" w:rsidRDefault="001E4C46" w:rsidP="00B51FBB">
      <w:pPr>
        <w:rPr>
          <w:lang w:val="en-GB"/>
        </w:rPr>
      </w:pPr>
    </w:p>
    <w:p w14:paraId="7D6A81BF" w14:textId="6EFFEE52" w:rsidR="001A7F31" w:rsidRPr="00EF1F01" w:rsidRDefault="001A7F31" w:rsidP="000168EC">
      <w:pPr>
        <w:pStyle w:val="ListParagraph"/>
        <w:numPr>
          <w:ilvl w:val="0"/>
          <w:numId w:val="30"/>
        </w:numPr>
        <w:outlineLvl w:val="0"/>
        <w:rPr>
          <w:rFonts w:ascii="Corbel" w:hAnsi="Corbel" w:cs="Arial"/>
          <w:b/>
          <w:color w:val="1F497D"/>
          <w:sz w:val="28"/>
          <w:lang w:val="en-GB"/>
        </w:rPr>
      </w:pPr>
      <w:bookmarkStart w:id="235" w:name="_Toc103506759"/>
      <w:r w:rsidRPr="00EF1F01">
        <w:rPr>
          <w:rFonts w:ascii="Corbel" w:hAnsi="Corbel" w:cs="Arial"/>
          <w:b/>
          <w:color w:val="1F497D"/>
          <w:sz w:val="28"/>
          <w:lang w:val="en-GB"/>
        </w:rPr>
        <w:t>Financial Summary</w:t>
      </w:r>
      <w:bookmarkEnd w:id="235"/>
      <w:r w:rsidRPr="00EF1F01">
        <w:rPr>
          <w:rFonts w:ascii="Corbel" w:hAnsi="Corbel" w:cs="Arial"/>
          <w:b/>
          <w:color w:val="1F497D"/>
          <w:sz w:val="28"/>
          <w:lang w:val="en-GB"/>
        </w:rPr>
        <w:t xml:space="preserve"> </w:t>
      </w:r>
    </w:p>
    <w:p w14:paraId="5E6F5C77" w14:textId="77777777" w:rsidR="001A7F31" w:rsidRDefault="001A7F31" w:rsidP="00082D0C">
      <w:pPr>
        <w:rPr>
          <w:lang w:val="en-GB"/>
        </w:rPr>
      </w:pPr>
    </w:p>
    <w:p w14:paraId="3ADE6948" w14:textId="79E6DA69" w:rsidR="00CC09A5" w:rsidRDefault="009E621E" w:rsidP="00A97438">
      <w:pPr>
        <w:spacing w:before="120" w:line="280" w:lineRule="exact"/>
        <w:jc w:val="both"/>
        <w:outlineLvl w:val="0"/>
        <w:rPr>
          <w:rFonts w:ascii="Corbel" w:hAnsi="Corbel" w:cs="Arial"/>
          <w:sz w:val="21"/>
          <w:szCs w:val="21"/>
          <w:lang w:val="en-GB"/>
        </w:rPr>
      </w:pPr>
      <w:bookmarkStart w:id="236" w:name="_Toc103506760"/>
      <w:r>
        <w:rPr>
          <w:rFonts w:ascii="Corbel" w:hAnsi="Corbel" w:cs="Arial"/>
          <w:sz w:val="21"/>
          <w:szCs w:val="21"/>
          <w:lang w:val="en-GB"/>
        </w:rPr>
        <w:t xml:space="preserve">As per the table below, during the period January 2021 – March 2022, the project utilized all funds allocated </w:t>
      </w:r>
      <w:r w:rsidR="00690CA8">
        <w:rPr>
          <w:rFonts w:ascii="Corbel" w:hAnsi="Corbel" w:cs="Arial"/>
          <w:sz w:val="21"/>
          <w:szCs w:val="21"/>
          <w:lang w:val="en-GB"/>
        </w:rPr>
        <w:t xml:space="preserve">in the work-plan budget. The additional amounts reflected in this financial abstract </w:t>
      </w:r>
      <w:r w:rsidR="00672AAD">
        <w:rPr>
          <w:rFonts w:ascii="Corbel" w:hAnsi="Corbel" w:cs="Arial"/>
          <w:sz w:val="21"/>
          <w:szCs w:val="21"/>
          <w:lang w:val="en-GB"/>
        </w:rPr>
        <w:t xml:space="preserve">are due to financial commitments undertaken in previous years, but </w:t>
      </w:r>
      <w:proofErr w:type="spellStart"/>
      <w:r w:rsidR="00672AAD">
        <w:rPr>
          <w:rFonts w:ascii="Corbel" w:hAnsi="Corbel" w:cs="Arial"/>
          <w:sz w:val="21"/>
          <w:szCs w:val="21"/>
          <w:lang w:val="en-GB"/>
        </w:rPr>
        <w:t>disboursed</w:t>
      </w:r>
      <w:proofErr w:type="spellEnd"/>
      <w:r w:rsidR="00672AAD">
        <w:rPr>
          <w:rFonts w:ascii="Corbel" w:hAnsi="Corbel" w:cs="Arial"/>
          <w:sz w:val="21"/>
          <w:szCs w:val="21"/>
          <w:lang w:val="en-GB"/>
        </w:rPr>
        <w:t xml:space="preserve"> </w:t>
      </w:r>
      <w:r w:rsidR="005E4E41">
        <w:rPr>
          <w:rFonts w:ascii="Corbel" w:hAnsi="Corbel" w:cs="Arial"/>
          <w:sz w:val="21"/>
          <w:szCs w:val="21"/>
          <w:lang w:val="en-GB"/>
        </w:rPr>
        <w:t>during the reporting period. This i</w:t>
      </w:r>
      <w:r w:rsidR="00F12463">
        <w:rPr>
          <w:rFonts w:ascii="Corbel" w:hAnsi="Corbel" w:cs="Arial"/>
          <w:sz w:val="21"/>
          <w:szCs w:val="21"/>
          <w:lang w:val="en-GB"/>
        </w:rPr>
        <w:t xml:space="preserve">s due specifically to the </w:t>
      </w:r>
      <w:r w:rsidR="008A232B">
        <w:rPr>
          <w:rFonts w:ascii="Corbel" w:hAnsi="Corbel" w:cs="Arial"/>
          <w:sz w:val="21"/>
          <w:szCs w:val="21"/>
          <w:lang w:val="en-GB"/>
        </w:rPr>
        <w:t xml:space="preserve">investment in the Jordan Licencing Hub, contributing to outcome 4, where </w:t>
      </w:r>
      <w:r w:rsidR="003C5712">
        <w:rPr>
          <w:rFonts w:ascii="Corbel" w:hAnsi="Corbel" w:cs="Arial"/>
          <w:sz w:val="21"/>
          <w:szCs w:val="21"/>
          <w:lang w:val="en-GB"/>
        </w:rPr>
        <w:t>contractors were engaged in 20</w:t>
      </w:r>
      <w:r w:rsidR="00A97438">
        <w:rPr>
          <w:rFonts w:ascii="Corbel" w:hAnsi="Corbel" w:cs="Arial"/>
          <w:sz w:val="21"/>
          <w:szCs w:val="21"/>
          <w:lang w:val="en-GB"/>
        </w:rPr>
        <w:t>19.</w:t>
      </w:r>
      <w:bookmarkEnd w:id="236"/>
    </w:p>
    <w:p w14:paraId="53B48E88" w14:textId="77777777" w:rsidR="00CC09A5" w:rsidRDefault="00CC09A5" w:rsidP="00810D65">
      <w:pPr>
        <w:spacing w:before="120" w:line="280" w:lineRule="exact"/>
        <w:outlineLvl w:val="0"/>
        <w:rPr>
          <w:rFonts w:ascii="Corbel" w:hAnsi="Corbel" w:cs="Arial"/>
          <w:sz w:val="21"/>
          <w:szCs w:val="21"/>
          <w:lang w:val="en-GB"/>
        </w:rPr>
      </w:pPr>
    </w:p>
    <w:p w14:paraId="14981EA9" w14:textId="77777777" w:rsidR="00CC09A5" w:rsidRDefault="00CC09A5" w:rsidP="00810D65">
      <w:pPr>
        <w:spacing w:before="120" w:line="280" w:lineRule="exact"/>
        <w:outlineLvl w:val="0"/>
        <w:rPr>
          <w:rFonts w:ascii="Corbel" w:hAnsi="Corbel" w:cs="Arial"/>
          <w:sz w:val="21"/>
          <w:szCs w:val="21"/>
          <w:lang w:val="en-GB"/>
        </w:rPr>
      </w:pPr>
    </w:p>
    <w:p w14:paraId="22E3B68A" w14:textId="77777777" w:rsidR="00CC09A5" w:rsidRDefault="00CC09A5" w:rsidP="00810D65">
      <w:pPr>
        <w:spacing w:before="120" w:line="280" w:lineRule="exact"/>
        <w:outlineLvl w:val="0"/>
        <w:rPr>
          <w:rFonts w:ascii="Corbel" w:hAnsi="Corbel" w:cs="Arial"/>
          <w:sz w:val="21"/>
          <w:szCs w:val="21"/>
          <w:lang w:val="en-GB"/>
        </w:rPr>
      </w:pPr>
    </w:p>
    <w:p w14:paraId="7FE155BD" w14:textId="0740045B" w:rsidR="00CC09A5" w:rsidRDefault="00CC09A5" w:rsidP="00810D65">
      <w:pPr>
        <w:spacing w:before="120" w:line="280" w:lineRule="exact"/>
        <w:outlineLvl w:val="0"/>
        <w:rPr>
          <w:rFonts w:ascii="Corbel" w:hAnsi="Corbel" w:cs="Arial"/>
          <w:sz w:val="21"/>
          <w:szCs w:val="21"/>
          <w:lang w:val="en-GB"/>
        </w:rPr>
      </w:pPr>
    </w:p>
    <w:tbl>
      <w:tblPr>
        <w:tblW w:w="9757" w:type="dxa"/>
        <w:tblLook w:val="04A0" w:firstRow="1" w:lastRow="0" w:firstColumn="1" w:lastColumn="0" w:noHBand="0" w:noVBand="1"/>
      </w:tblPr>
      <w:tblGrid>
        <w:gridCol w:w="1408"/>
        <w:gridCol w:w="5386"/>
        <w:gridCol w:w="1392"/>
        <w:gridCol w:w="1559"/>
        <w:gridCol w:w="12"/>
      </w:tblGrid>
      <w:tr w:rsidR="003E6E65" w:rsidRPr="003E6E65" w14:paraId="3FC67A9A" w14:textId="77777777" w:rsidTr="00573820">
        <w:trPr>
          <w:trHeight w:val="300"/>
        </w:trPr>
        <w:tc>
          <w:tcPr>
            <w:tcW w:w="9757" w:type="dxa"/>
            <w:gridSpan w:val="5"/>
            <w:tcBorders>
              <w:top w:val="single" w:sz="8" w:space="0" w:color="auto"/>
              <w:left w:val="single" w:sz="8" w:space="0" w:color="auto"/>
              <w:bottom w:val="nil"/>
              <w:right w:val="single" w:sz="8" w:space="0" w:color="000000"/>
            </w:tcBorders>
            <w:shd w:val="clear" w:color="auto" w:fill="auto"/>
            <w:vAlign w:val="center"/>
            <w:hideMark/>
          </w:tcPr>
          <w:p w14:paraId="7D6FA97F" w14:textId="73ABE58C" w:rsidR="003E6E65" w:rsidRPr="003E6E65" w:rsidRDefault="003E6E65" w:rsidP="003E6E65">
            <w:pPr>
              <w:jc w:val="cente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AEISD</w:t>
            </w:r>
          </w:p>
        </w:tc>
      </w:tr>
      <w:tr w:rsidR="003E6E65" w:rsidRPr="003E6E65" w14:paraId="6CF1D7D4" w14:textId="77777777" w:rsidTr="00573820">
        <w:trPr>
          <w:trHeight w:val="315"/>
        </w:trPr>
        <w:tc>
          <w:tcPr>
            <w:tcW w:w="9757" w:type="dxa"/>
            <w:gridSpan w:val="5"/>
            <w:tcBorders>
              <w:top w:val="nil"/>
              <w:left w:val="single" w:sz="8" w:space="0" w:color="auto"/>
              <w:bottom w:val="single" w:sz="8" w:space="0" w:color="auto"/>
              <w:right w:val="single" w:sz="8" w:space="0" w:color="000000"/>
            </w:tcBorders>
            <w:shd w:val="clear" w:color="auto" w:fill="auto"/>
            <w:vAlign w:val="center"/>
            <w:hideMark/>
          </w:tcPr>
          <w:p w14:paraId="3C5A3D63" w14:textId="77777777" w:rsidR="003E6E65" w:rsidRPr="003E6E65" w:rsidRDefault="003E6E65" w:rsidP="003E6E65">
            <w:pPr>
              <w:jc w:val="cente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1 January 2021- 31 March 2022</w:t>
            </w:r>
            <w:r w:rsidRPr="003E6E65">
              <w:rPr>
                <w:rFonts w:ascii="Calibri" w:eastAsia="Times New Roman" w:hAnsi="Calibri" w:cs="Calibri"/>
                <w:color w:val="000000"/>
                <w:sz w:val="22"/>
                <w:szCs w:val="22"/>
                <w:lang w:val="en-GB" w:eastAsia="en-GB"/>
              </w:rPr>
              <w:t> </w:t>
            </w:r>
          </w:p>
        </w:tc>
      </w:tr>
      <w:tr w:rsidR="003E6E65" w:rsidRPr="003E6E65" w14:paraId="48DCAAF9" w14:textId="77777777" w:rsidTr="00573820">
        <w:trPr>
          <w:gridAfter w:val="1"/>
          <w:wAfter w:w="12" w:type="dxa"/>
          <w:trHeight w:val="315"/>
        </w:trPr>
        <w:tc>
          <w:tcPr>
            <w:tcW w:w="6794" w:type="dxa"/>
            <w:gridSpan w:val="2"/>
            <w:tcBorders>
              <w:top w:val="nil"/>
              <w:left w:val="single" w:sz="4" w:space="0" w:color="000000"/>
              <w:bottom w:val="single" w:sz="8" w:space="0" w:color="000000"/>
              <w:right w:val="single" w:sz="8" w:space="0" w:color="000000"/>
            </w:tcBorders>
            <w:shd w:val="clear" w:color="auto" w:fill="auto"/>
            <w:vAlign w:val="center"/>
            <w:hideMark/>
          </w:tcPr>
          <w:p w14:paraId="14F1CA31" w14:textId="5AB9E6E1" w:rsidR="003E6E65" w:rsidRPr="003E6E65" w:rsidRDefault="003E6E65" w:rsidP="003E6E65">
            <w:pPr>
              <w:jc w:val="cente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Description</w:t>
            </w:r>
          </w:p>
        </w:tc>
        <w:tc>
          <w:tcPr>
            <w:tcW w:w="1392" w:type="dxa"/>
            <w:tcBorders>
              <w:top w:val="nil"/>
              <w:left w:val="nil"/>
              <w:bottom w:val="single" w:sz="8" w:space="0" w:color="000000"/>
              <w:right w:val="single" w:sz="8" w:space="0" w:color="000000"/>
            </w:tcBorders>
            <w:shd w:val="clear" w:color="auto" w:fill="auto"/>
            <w:vAlign w:val="center"/>
            <w:hideMark/>
          </w:tcPr>
          <w:p w14:paraId="1AE67C1D" w14:textId="1ACED0E3" w:rsidR="003E6E65" w:rsidRPr="003E6E65" w:rsidRDefault="003E6E65" w:rsidP="003E6E65">
            <w:pPr>
              <w:jc w:val="cente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Budget</w:t>
            </w:r>
          </w:p>
        </w:tc>
        <w:tc>
          <w:tcPr>
            <w:tcW w:w="1559" w:type="dxa"/>
            <w:tcBorders>
              <w:top w:val="nil"/>
              <w:left w:val="nil"/>
              <w:bottom w:val="single" w:sz="8" w:space="0" w:color="000000"/>
              <w:right w:val="single" w:sz="8" w:space="0" w:color="000000"/>
            </w:tcBorders>
            <w:shd w:val="clear" w:color="auto" w:fill="auto"/>
            <w:vAlign w:val="center"/>
            <w:hideMark/>
          </w:tcPr>
          <w:p w14:paraId="173434DC" w14:textId="7B4E4BCD" w:rsidR="003E6E65" w:rsidRPr="003E6E65" w:rsidRDefault="003E6E65" w:rsidP="003E6E65">
            <w:pPr>
              <w:jc w:val="cente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Utilization</w:t>
            </w:r>
          </w:p>
        </w:tc>
      </w:tr>
      <w:tr w:rsidR="008F15B9" w:rsidRPr="003E6E65" w14:paraId="3B2FCC01" w14:textId="77777777" w:rsidTr="00573820">
        <w:trPr>
          <w:trHeight w:val="148"/>
        </w:trPr>
        <w:tc>
          <w:tcPr>
            <w:tcW w:w="9757" w:type="dxa"/>
            <w:gridSpan w:val="5"/>
            <w:tcBorders>
              <w:top w:val="nil"/>
              <w:left w:val="single" w:sz="4" w:space="0" w:color="000000"/>
              <w:bottom w:val="single" w:sz="8" w:space="0" w:color="000000"/>
              <w:right w:val="single" w:sz="8" w:space="0" w:color="000000"/>
            </w:tcBorders>
            <w:shd w:val="clear" w:color="auto" w:fill="auto"/>
            <w:vAlign w:val="center"/>
            <w:hideMark/>
          </w:tcPr>
          <w:p w14:paraId="110D02C4" w14:textId="2218F354" w:rsidR="008F15B9" w:rsidRPr="003E6E65" w:rsidRDefault="008F15B9" w:rsidP="003E6E65">
            <w:pP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OUTCOME 1</w:t>
            </w:r>
            <w:r>
              <w:rPr>
                <w:rFonts w:ascii="Calibri" w:eastAsia="Times New Roman" w:hAnsi="Calibri" w:cs="Calibri"/>
                <w:b/>
                <w:bCs/>
                <w:color w:val="000000"/>
                <w:sz w:val="22"/>
                <w:szCs w:val="22"/>
                <w:lang w:val="en-GB" w:eastAsia="en-GB"/>
              </w:rPr>
              <w:t xml:space="preserve">: </w:t>
            </w:r>
            <w:r w:rsidRPr="003E6E65">
              <w:rPr>
                <w:rFonts w:ascii="Calibri" w:eastAsia="Times New Roman" w:hAnsi="Calibri" w:cs="Calibri"/>
                <w:b/>
                <w:bCs/>
                <w:color w:val="000000"/>
                <w:sz w:val="22"/>
                <w:szCs w:val="22"/>
                <w:lang w:val="en-GB" w:eastAsia="en-GB"/>
              </w:rPr>
              <w:t>Capacity of the League of Arab States strengthened to manage regional economic integration related processes</w:t>
            </w:r>
          </w:p>
        </w:tc>
      </w:tr>
      <w:tr w:rsidR="003E6E65" w:rsidRPr="003E6E65" w14:paraId="0397DFF0" w14:textId="77777777" w:rsidTr="00573820">
        <w:trPr>
          <w:gridAfter w:val="1"/>
          <w:wAfter w:w="12" w:type="dxa"/>
          <w:trHeight w:val="581"/>
        </w:trPr>
        <w:tc>
          <w:tcPr>
            <w:tcW w:w="1408" w:type="dxa"/>
            <w:tcBorders>
              <w:top w:val="nil"/>
              <w:left w:val="single" w:sz="4" w:space="0" w:color="000000"/>
              <w:bottom w:val="single" w:sz="8" w:space="0" w:color="000000"/>
              <w:right w:val="single" w:sz="8" w:space="0" w:color="000000"/>
            </w:tcBorders>
            <w:shd w:val="clear" w:color="auto" w:fill="auto"/>
            <w:vAlign w:val="center"/>
            <w:hideMark/>
          </w:tcPr>
          <w:p w14:paraId="33B2220C" w14:textId="5DD903E4" w:rsidR="003E6E65" w:rsidRPr="003E6E65" w:rsidRDefault="003E6E65" w:rsidP="003E6E65">
            <w:pP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Output 1</w:t>
            </w:r>
          </w:p>
        </w:tc>
        <w:tc>
          <w:tcPr>
            <w:tcW w:w="5386" w:type="dxa"/>
            <w:tcBorders>
              <w:top w:val="nil"/>
              <w:left w:val="nil"/>
              <w:bottom w:val="single" w:sz="8" w:space="0" w:color="000000"/>
              <w:right w:val="nil"/>
            </w:tcBorders>
            <w:shd w:val="clear" w:color="auto" w:fill="auto"/>
            <w:vAlign w:val="center"/>
            <w:hideMark/>
          </w:tcPr>
          <w:p w14:paraId="53D0FE79" w14:textId="05BEFEF2" w:rsidR="003E6E65" w:rsidRPr="003E6E65" w:rsidRDefault="003E6E65" w:rsidP="003E6E65">
            <w:pP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Structured and targeted technical support to LAS secretariat and Arab negotiators on trade policy formulation and reform under PAFTA</w:t>
            </w:r>
          </w:p>
        </w:tc>
        <w:tc>
          <w:tcPr>
            <w:tcW w:w="1392" w:type="dxa"/>
            <w:tcBorders>
              <w:top w:val="nil"/>
              <w:left w:val="single" w:sz="8" w:space="0" w:color="000000"/>
              <w:bottom w:val="single" w:sz="8" w:space="0" w:color="000000"/>
              <w:right w:val="single" w:sz="8" w:space="0" w:color="000000"/>
            </w:tcBorders>
            <w:shd w:val="clear" w:color="auto" w:fill="auto"/>
            <w:vAlign w:val="center"/>
            <w:hideMark/>
          </w:tcPr>
          <w:p w14:paraId="13BF592D" w14:textId="5B63161D" w:rsidR="003E6E65" w:rsidRPr="003E6E65" w:rsidRDefault="003E6E65" w:rsidP="00573820">
            <w:pPr>
              <w:jc w:val="cente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675,015.00</w:t>
            </w:r>
          </w:p>
        </w:tc>
        <w:tc>
          <w:tcPr>
            <w:tcW w:w="1559" w:type="dxa"/>
            <w:tcBorders>
              <w:top w:val="nil"/>
              <w:left w:val="nil"/>
              <w:bottom w:val="single" w:sz="8" w:space="0" w:color="000000"/>
              <w:right w:val="single" w:sz="8" w:space="0" w:color="000000"/>
            </w:tcBorders>
            <w:shd w:val="clear" w:color="auto" w:fill="auto"/>
            <w:vAlign w:val="center"/>
            <w:hideMark/>
          </w:tcPr>
          <w:p w14:paraId="2ECCD86F" w14:textId="03545026" w:rsidR="003E6E65" w:rsidRPr="003E6E65" w:rsidRDefault="003E6E65" w:rsidP="00573820">
            <w:pPr>
              <w:jc w:val="cente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351,234.20</w:t>
            </w:r>
          </w:p>
        </w:tc>
      </w:tr>
      <w:tr w:rsidR="003E6E65" w:rsidRPr="003E6E65" w14:paraId="794FB109" w14:textId="77777777" w:rsidTr="00573820">
        <w:trPr>
          <w:gridAfter w:val="1"/>
          <w:wAfter w:w="12" w:type="dxa"/>
          <w:trHeight w:val="608"/>
        </w:trPr>
        <w:tc>
          <w:tcPr>
            <w:tcW w:w="1408" w:type="dxa"/>
            <w:tcBorders>
              <w:top w:val="nil"/>
              <w:left w:val="single" w:sz="4" w:space="0" w:color="000000"/>
              <w:bottom w:val="single" w:sz="8" w:space="0" w:color="000000"/>
              <w:right w:val="single" w:sz="8" w:space="0" w:color="000000"/>
            </w:tcBorders>
            <w:shd w:val="clear" w:color="auto" w:fill="auto"/>
            <w:vAlign w:val="center"/>
            <w:hideMark/>
          </w:tcPr>
          <w:p w14:paraId="7476A3D8" w14:textId="77777777" w:rsidR="003E6E65" w:rsidRPr="003E6E65" w:rsidRDefault="003E6E65" w:rsidP="003E6E65">
            <w:pP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Output 2 </w:t>
            </w:r>
          </w:p>
        </w:tc>
        <w:tc>
          <w:tcPr>
            <w:tcW w:w="5386" w:type="dxa"/>
            <w:tcBorders>
              <w:top w:val="nil"/>
              <w:left w:val="nil"/>
              <w:bottom w:val="single" w:sz="8" w:space="0" w:color="000000"/>
              <w:right w:val="nil"/>
            </w:tcBorders>
            <w:shd w:val="clear" w:color="auto" w:fill="auto"/>
            <w:vAlign w:val="center"/>
            <w:hideMark/>
          </w:tcPr>
          <w:p w14:paraId="06789560" w14:textId="77777777" w:rsidR="003E6E65" w:rsidRPr="003E6E65" w:rsidRDefault="003E6E65" w:rsidP="003E6E65">
            <w:pP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Provision of support for the organizational capacity of LAS secretariat to facilitate the regional economic integration agenda </w:t>
            </w:r>
          </w:p>
        </w:tc>
        <w:tc>
          <w:tcPr>
            <w:tcW w:w="1392" w:type="dxa"/>
            <w:tcBorders>
              <w:top w:val="nil"/>
              <w:left w:val="single" w:sz="8" w:space="0" w:color="000000"/>
              <w:bottom w:val="single" w:sz="8" w:space="0" w:color="000000"/>
              <w:right w:val="single" w:sz="8" w:space="0" w:color="000000"/>
            </w:tcBorders>
            <w:shd w:val="clear" w:color="auto" w:fill="auto"/>
            <w:vAlign w:val="center"/>
            <w:hideMark/>
          </w:tcPr>
          <w:p w14:paraId="5B0739BF" w14:textId="54936DB6" w:rsidR="003E6E65" w:rsidRPr="003E6E65" w:rsidRDefault="003E6E65" w:rsidP="00573820">
            <w:pPr>
              <w:jc w:val="cente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106,100.00</w:t>
            </w:r>
          </w:p>
        </w:tc>
        <w:tc>
          <w:tcPr>
            <w:tcW w:w="1559" w:type="dxa"/>
            <w:tcBorders>
              <w:top w:val="nil"/>
              <w:left w:val="nil"/>
              <w:bottom w:val="single" w:sz="8" w:space="0" w:color="000000"/>
              <w:right w:val="single" w:sz="8" w:space="0" w:color="000000"/>
            </w:tcBorders>
            <w:shd w:val="clear" w:color="auto" w:fill="auto"/>
            <w:vAlign w:val="center"/>
            <w:hideMark/>
          </w:tcPr>
          <w:p w14:paraId="3F3F453B" w14:textId="36E4C9E5" w:rsidR="003E6E65" w:rsidRPr="003E6E65" w:rsidRDefault="003E6E65" w:rsidP="00573820">
            <w:pPr>
              <w:jc w:val="cente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104,967.03</w:t>
            </w:r>
          </w:p>
        </w:tc>
      </w:tr>
      <w:tr w:rsidR="003E6E65" w:rsidRPr="003E6E65" w14:paraId="48DAA07B" w14:textId="77777777" w:rsidTr="00573820">
        <w:trPr>
          <w:gridAfter w:val="1"/>
          <w:wAfter w:w="12" w:type="dxa"/>
          <w:trHeight w:val="315"/>
        </w:trPr>
        <w:tc>
          <w:tcPr>
            <w:tcW w:w="6794" w:type="dxa"/>
            <w:gridSpan w:val="2"/>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0147A6DA" w14:textId="3F497B5F" w:rsidR="003E6E65" w:rsidRPr="003E6E65" w:rsidRDefault="003E6E65" w:rsidP="003E6E65">
            <w:pPr>
              <w:jc w:val="cente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Subtotal Outcome 1</w:t>
            </w:r>
          </w:p>
        </w:tc>
        <w:tc>
          <w:tcPr>
            <w:tcW w:w="1392" w:type="dxa"/>
            <w:tcBorders>
              <w:top w:val="nil"/>
              <w:left w:val="nil"/>
              <w:bottom w:val="single" w:sz="8" w:space="0" w:color="000000"/>
              <w:right w:val="single" w:sz="8" w:space="0" w:color="000000"/>
            </w:tcBorders>
            <w:shd w:val="clear" w:color="auto" w:fill="auto"/>
            <w:vAlign w:val="center"/>
            <w:hideMark/>
          </w:tcPr>
          <w:p w14:paraId="34D8A0FC" w14:textId="02221A75" w:rsidR="003E6E65" w:rsidRPr="003E6E65" w:rsidRDefault="003E6E65" w:rsidP="00573820">
            <w:pPr>
              <w:jc w:val="cente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781,115.00</w:t>
            </w:r>
          </w:p>
        </w:tc>
        <w:tc>
          <w:tcPr>
            <w:tcW w:w="1559" w:type="dxa"/>
            <w:tcBorders>
              <w:top w:val="nil"/>
              <w:left w:val="nil"/>
              <w:bottom w:val="single" w:sz="8" w:space="0" w:color="000000"/>
              <w:right w:val="single" w:sz="8" w:space="0" w:color="000000"/>
            </w:tcBorders>
            <w:shd w:val="clear" w:color="auto" w:fill="auto"/>
            <w:vAlign w:val="center"/>
            <w:hideMark/>
          </w:tcPr>
          <w:p w14:paraId="75A4A854" w14:textId="715D99D2" w:rsidR="003E6E65" w:rsidRPr="003E6E65" w:rsidRDefault="003E6E65" w:rsidP="00573820">
            <w:pPr>
              <w:jc w:val="cente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456,201.23</w:t>
            </w:r>
          </w:p>
        </w:tc>
      </w:tr>
      <w:tr w:rsidR="00573820" w:rsidRPr="003E6E65" w14:paraId="24B46CB5" w14:textId="77777777" w:rsidTr="00466929">
        <w:trPr>
          <w:gridAfter w:val="1"/>
          <w:wAfter w:w="12" w:type="dxa"/>
          <w:trHeight w:val="142"/>
        </w:trPr>
        <w:tc>
          <w:tcPr>
            <w:tcW w:w="9745" w:type="dxa"/>
            <w:gridSpan w:val="4"/>
            <w:tcBorders>
              <w:top w:val="nil"/>
              <w:left w:val="single" w:sz="4" w:space="0" w:color="000000"/>
              <w:bottom w:val="single" w:sz="8" w:space="0" w:color="000000"/>
              <w:right w:val="single" w:sz="8" w:space="0" w:color="000000"/>
            </w:tcBorders>
            <w:shd w:val="clear" w:color="auto" w:fill="auto"/>
            <w:vAlign w:val="center"/>
            <w:hideMark/>
          </w:tcPr>
          <w:p w14:paraId="64622864" w14:textId="6E7621D7" w:rsidR="00573820" w:rsidRPr="003E6E65" w:rsidRDefault="00573820" w:rsidP="00466929">
            <w:pP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Outcome 2</w:t>
            </w:r>
            <w:r>
              <w:rPr>
                <w:rFonts w:ascii="Calibri" w:eastAsia="Times New Roman" w:hAnsi="Calibri" w:cs="Calibri"/>
                <w:b/>
                <w:bCs/>
                <w:color w:val="000000"/>
                <w:sz w:val="22"/>
                <w:szCs w:val="22"/>
                <w:lang w:val="en-GB" w:eastAsia="en-GB"/>
              </w:rPr>
              <w:t>:</w:t>
            </w:r>
            <w:r w:rsidR="00466929">
              <w:rPr>
                <w:rFonts w:ascii="Calibri" w:eastAsia="Times New Roman" w:hAnsi="Calibri" w:cs="Calibri"/>
                <w:b/>
                <w:bCs/>
                <w:color w:val="000000"/>
                <w:sz w:val="22"/>
                <w:szCs w:val="22"/>
                <w:lang w:val="en-GB" w:eastAsia="en-GB"/>
              </w:rPr>
              <w:t xml:space="preserve"> </w:t>
            </w:r>
            <w:r w:rsidRPr="003E6E65">
              <w:rPr>
                <w:rFonts w:ascii="Calibri" w:eastAsia="Times New Roman" w:hAnsi="Calibri" w:cs="Calibri"/>
                <w:b/>
                <w:bCs/>
                <w:color w:val="000000"/>
                <w:sz w:val="22"/>
                <w:szCs w:val="22"/>
                <w:lang w:val="en-GB" w:eastAsia="en-GB"/>
              </w:rPr>
              <w:t>Member states are capacitated and technically prepared for regional economic integration</w:t>
            </w:r>
          </w:p>
        </w:tc>
      </w:tr>
      <w:tr w:rsidR="003E6E65" w:rsidRPr="003E6E65" w14:paraId="173D2A68" w14:textId="77777777" w:rsidTr="00466929">
        <w:trPr>
          <w:gridAfter w:val="1"/>
          <w:wAfter w:w="12" w:type="dxa"/>
          <w:trHeight w:val="429"/>
        </w:trPr>
        <w:tc>
          <w:tcPr>
            <w:tcW w:w="1408" w:type="dxa"/>
            <w:tcBorders>
              <w:top w:val="nil"/>
              <w:left w:val="single" w:sz="4" w:space="0" w:color="000000"/>
              <w:bottom w:val="single" w:sz="8" w:space="0" w:color="000000"/>
              <w:right w:val="single" w:sz="8" w:space="0" w:color="000000"/>
            </w:tcBorders>
            <w:shd w:val="clear" w:color="auto" w:fill="auto"/>
            <w:vAlign w:val="center"/>
            <w:hideMark/>
          </w:tcPr>
          <w:p w14:paraId="38BB1034" w14:textId="7F57B173" w:rsidR="003E6E65" w:rsidRPr="003E6E65" w:rsidRDefault="003E6E65" w:rsidP="003E6E65">
            <w:pP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Output 3</w:t>
            </w:r>
          </w:p>
        </w:tc>
        <w:tc>
          <w:tcPr>
            <w:tcW w:w="5386" w:type="dxa"/>
            <w:tcBorders>
              <w:top w:val="nil"/>
              <w:left w:val="nil"/>
              <w:bottom w:val="single" w:sz="8" w:space="0" w:color="000000"/>
              <w:right w:val="nil"/>
            </w:tcBorders>
            <w:shd w:val="clear" w:color="auto" w:fill="auto"/>
            <w:vAlign w:val="center"/>
            <w:hideMark/>
          </w:tcPr>
          <w:p w14:paraId="7B697A6C" w14:textId="3B6E0BCF" w:rsidR="003E6E65" w:rsidRPr="003E6E65" w:rsidRDefault="003E6E65" w:rsidP="003E6E65">
            <w:pP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Provision of country-based technical assistance to policymakers for their activities related to trade policy reform and coherence</w:t>
            </w:r>
          </w:p>
        </w:tc>
        <w:tc>
          <w:tcPr>
            <w:tcW w:w="1392" w:type="dxa"/>
            <w:tcBorders>
              <w:top w:val="nil"/>
              <w:left w:val="single" w:sz="8" w:space="0" w:color="000000"/>
              <w:bottom w:val="single" w:sz="8" w:space="0" w:color="000000"/>
              <w:right w:val="single" w:sz="8" w:space="0" w:color="000000"/>
            </w:tcBorders>
            <w:shd w:val="clear" w:color="auto" w:fill="auto"/>
            <w:vAlign w:val="center"/>
            <w:hideMark/>
          </w:tcPr>
          <w:p w14:paraId="188A71C8" w14:textId="7310EB41" w:rsidR="003E6E65" w:rsidRPr="003E6E65" w:rsidRDefault="003E6E65" w:rsidP="00573820">
            <w:pPr>
              <w:jc w:val="cente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476,815.00</w:t>
            </w:r>
          </w:p>
        </w:tc>
        <w:tc>
          <w:tcPr>
            <w:tcW w:w="1559" w:type="dxa"/>
            <w:tcBorders>
              <w:top w:val="nil"/>
              <w:left w:val="nil"/>
              <w:bottom w:val="single" w:sz="8" w:space="0" w:color="000000"/>
              <w:right w:val="single" w:sz="8" w:space="0" w:color="000000"/>
            </w:tcBorders>
            <w:shd w:val="clear" w:color="auto" w:fill="auto"/>
            <w:vAlign w:val="center"/>
            <w:hideMark/>
          </w:tcPr>
          <w:p w14:paraId="123BB28B" w14:textId="6B1E03CA" w:rsidR="003E6E65" w:rsidRPr="003E6E65" w:rsidRDefault="003E6E65" w:rsidP="00573820">
            <w:pPr>
              <w:jc w:val="cente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440,915.25</w:t>
            </w:r>
          </w:p>
        </w:tc>
      </w:tr>
      <w:tr w:rsidR="003E6E65" w:rsidRPr="003E6E65" w14:paraId="719BAEF9" w14:textId="77777777" w:rsidTr="00466929">
        <w:trPr>
          <w:gridAfter w:val="1"/>
          <w:wAfter w:w="12" w:type="dxa"/>
          <w:trHeight w:val="598"/>
        </w:trPr>
        <w:tc>
          <w:tcPr>
            <w:tcW w:w="1408" w:type="dxa"/>
            <w:tcBorders>
              <w:top w:val="nil"/>
              <w:left w:val="single" w:sz="4" w:space="0" w:color="000000"/>
              <w:bottom w:val="single" w:sz="8" w:space="0" w:color="000000"/>
              <w:right w:val="single" w:sz="8" w:space="0" w:color="000000"/>
            </w:tcBorders>
            <w:shd w:val="clear" w:color="auto" w:fill="auto"/>
            <w:vAlign w:val="center"/>
            <w:hideMark/>
          </w:tcPr>
          <w:p w14:paraId="20909C31" w14:textId="6773D43A" w:rsidR="003E6E65" w:rsidRPr="003E6E65" w:rsidRDefault="003E6E65" w:rsidP="003E6E65">
            <w:pP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Output 4</w:t>
            </w:r>
          </w:p>
        </w:tc>
        <w:tc>
          <w:tcPr>
            <w:tcW w:w="5386" w:type="dxa"/>
            <w:tcBorders>
              <w:top w:val="nil"/>
              <w:left w:val="nil"/>
              <w:bottom w:val="single" w:sz="8" w:space="0" w:color="000000"/>
              <w:right w:val="nil"/>
            </w:tcBorders>
            <w:shd w:val="clear" w:color="auto" w:fill="auto"/>
            <w:vAlign w:val="center"/>
            <w:hideMark/>
          </w:tcPr>
          <w:p w14:paraId="66C4D76B" w14:textId="120D831E" w:rsidR="003E6E65" w:rsidRPr="003E6E65" w:rsidRDefault="003E6E65" w:rsidP="003E6E65">
            <w:pP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Provision of country-based technical assistance to policy makers for the modernization of the supply/value chain in preparatory process for the Arab Customs Union</w:t>
            </w:r>
          </w:p>
        </w:tc>
        <w:tc>
          <w:tcPr>
            <w:tcW w:w="1392" w:type="dxa"/>
            <w:tcBorders>
              <w:top w:val="nil"/>
              <w:left w:val="single" w:sz="8" w:space="0" w:color="000000"/>
              <w:bottom w:val="single" w:sz="8" w:space="0" w:color="000000"/>
              <w:right w:val="single" w:sz="8" w:space="0" w:color="000000"/>
            </w:tcBorders>
            <w:shd w:val="clear" w:color="auto" w:fill="auto"/>
            <w:vAlign w:val="center"/>
            <w:hideMark/>
          </w:tcPr>
          <w:p w14:paraId="288918FC" w14:textId="79843ADD" w:rsidR="003E6E65" w:rsidRPr="003E6E65" w:rsidRDefault="003E6E65" w:rsidP="00573820">
            <w:pPr>
              <w:jc w:val="cente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541,068.90</w:t>
            </w:r>
          </w:p>
        </w:tc>
        <w:tc>
          <w:tcPr>
            <w:tcW w:w="1559" w:type="dxa"/>
            <w:tcBorders>
              <w:top w:val="nil"/>
              <w:left w:val="nil"/>
              <w:bottom w:val="single" w:sz="8" w:space="0" w:color="000000"/>
              <w:right w:val="single" w:sz="8" w:space="0" w:color="000000"/>
            </w:tcBorders>
            <w:shd w:val="clear" w:color="auto" w:fill="auto"/>
            <w:vAlign w:val="center"/>
            <w:hideMark/>
          </w:tcPr>
          <w:p w14:paraId="2E9051B7" w14:textId="60D3326F" w:rsidR="003E6E65" w:rsidRPr="003E6E65" w:rsidRDefault="003E6E65" w:rsidP="00573820">
            <w:pPr>
              <w:jc w:val="cente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1,243,723.77</w:t>
            </w:r>
          </w:p>
        </w:tc>
      </w:tr>
      <w:tr w:rsidR="003E6E65" w:rsidRPr="003E6E65" w14:paraId="4869C71D" w14:textId="77777777" w:rsidTr="00573820">
        <w:trPr>
          <w:gridAfter w:val="1"/>
          <w:wAfter w:w="12" w:type="dxa"/>
          <w:trHeight w:val="315"/>
        </w:trPr>
        <w:tc>
          <w:tcPr>
            <w:tcW w:w="6794" w:type="dxa"/>
            <w:gridSpan w:val="2"/>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7C9469F5" w14:textId="2DF3B8B3" w:rsidR="003E6E65" w:rsidRPr="003E6E65" w:rsidRDefault="003E6E65" w:rsidP="003E6E65">
            <w:pPr>
              <w:jc w:val="cente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Subtotal Outcome 2</w:t>
            </w:r>
          </w:p>
        </w:tc>
        <w:tc>
          <w:tcPr>
            <w:tcW w:w="1392" w:type="dxa"/>
            <w:tcBorders>
              <w:top w:val="nil"/>
              <w:left w:val="nil"/>
              <w:bottom w:val="single" w:sz="8" w:space="0" w:color="000000"/>
              <w:right w:val="single" w:sz="8" w:space="0" w:color="000000"/>
            </w:tcBorders>
            <w:shd w:val="clear" w:color="auto" w:fill="auto"/>
            <w:vAlign w:val="center"/>
            <w:hideMark/>
          </w:tcPr>
          <w:p w14:paraId="64B1E499" w14:textId="2142B9CC" w:rsidR="003E6E65" w:rsidRPr="003E6E65" w:rsidRDefault="003E6E65" w:rsidP="00573820">
            <w:pPr>
              <w:jc w:val="cente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1,017,883.90</w:t>
            </w:r>
          </w:p>
        </w:tc>
        <w:tc>
          <w:tcPr>
            <w:tcW w:w="1559" w:type="dxa"/>
            <w:tcBorders>
              <w:top w:val="nil"/>
              <w:left w:val="nil"/>
              <w:bottom w:val="single" w:sz="8" w:space="0" w:color="000000"/>
              <w:right w:val="single" w:sz="8" w:space="0" w:color="000000"/>
            </w:tcBorders>
            <w:shd w:val="clear" w:color="auto" w:fill="auto"/>
            <w:vAlign w:val="center"/>
            <w:hideMark/>
          </w:tcPr>
          <w:p w14:paraId="179BA085" w14:textId="17DE890D" w:rsidR="003E6E65" w:rsidRPr="003E6E65" w:rsidRDefault="003E6E65" w:rsidP="00573820">
            <w:pPr>
              <w:jc w:val="cente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1,684,639.02</w:t>
            </w:r>
          </w:p>
        </w:tc>
      </w:tr>
      <w:tr w:rsidR="00BF3BB1" w:rsidRPr="003E6E65" w14:paraId="68EC004B" w14:textId="77777777" w:rsidTr="00BF3BB1">
        <w:trPr>
          <w:gridAfter w:val="1"/>
          <w:wAfter w:w="12" w:type="dxa"/>
          <w:trHeight w:val="288"/>
        </w:trPr>
        <w:tc>
          <w:tcPr>
            <w:tcW w:w="9745" w:type="dxa"/>
            <w:gridSpan w:val="4"/>
            <w:tcBorders>
              <w:top w:val="nil"/>
              <w:left w:val="single" w:sz="4" w:space="0" w:color="000000"/>
              <w:bottom w:val="single" w:sz="8" w:space="0" w:color="000000"/>
              <w:right w:val="single" w:sz="8" w:space="0" w:color="000000"/>
            </w:tcBorders>
            <w:shd w:val="clear" w:color="auto" w:fill="auto"/>
            <w:vAlign w:val="center"/>
            <w:hideMark/>
          </w:tcPr>
          <w:p w14:paraId="491FEDA0" w14:textId="6CF7392D" w:rsidR="00BF3BB1" w:rsidRPr="003E6E65" w:rsidRDefault="00BF3BB1" w:rsidP="00BF3BB1">
            <w:pP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Outcome 3</w:t>
            </w:r>
            <w:r>
              <w:rPr>
                <w:rFonts w:ascii="Calibri" w:eastAsia="Times New Roman" w:hAnsi="Calibri" w:cs="Calibri"/>
                <w:b/>
                <w:bCs/>
                <w:color w:val="000000"/>
                <w:sz w:val="22"/>
                <w:szCs w:val="22"/>
                <w:lang w:val="en-GB" w:eastAsia="en-GB"/>
              </w:rPr>
              <w:t xml:space="preserve">: </w:t>
            </w:r>
            <w:r w:rsidRPr="003E6E65">
              <w:rPr>
                <w:rFonts w:ascii="Calibri" w:eastAsia="Times New Roman" w:hAnsi="Calibri" w:cs="Calibri"/>
                <w:b/>
                <w:bCs/>
                <w:color w:val="000000"/>
                <w:sz w:val="22"/>
                <w:szCs w:val="22"/>
                <w:lang w:val="en-GB" w:eastAsia="en-GB"/>
              </w:rPr>
              <w:t>Engagement of key development actors ensured through inclusive and transparent processes for regional economic integration</w:t>
            </w:r>
          </w:p>
        </w:tc>
      </w:tr>
      <w:tr w:rsidR="003E6E65" w:rsidRPr="003E6E65" w14:paraId="7FBD2788" w14:textId="77777777" w:rsidTr="00BF3BB1">
        <w:trPr>
          <w:gridAfter w:val="1"/>
          <w:wAfter w:w="12" w:type="dxa"/>
          <w:trHeight w:val="580"/>
        </w:trPr>
        <w:tc>
          <w:tcPr>
            <w:tcW w:w="1408" w:type="dxa"/>
            <w:tcBorders>
              <w:top w:val="nil"/>
              <w:left w:val="single" w:sz="4" w:space="0" w:color="000000"/>
              <w:bottom w:val="single" w:sz="8" w:space="0" w:color="000000"/>
              <w:right w:val="single" w:sz="8" w:space="0" w:color="000000"/>
            </w:tcBorders>
            <w:shd w:val="clear" w:color="auto" w:fill="auto"/>
            <w:vAlign w:val="center"/>
            <w:hideMark/>
          </w:tcPr>
          <w:p w14:paraId="40D43009" w14:textId="16B86880" w:rsidR="003E6E65" w:rsidRPr="003E6E65" w:rsidRDefault="003E6E65" w:rsidP="003E6E65">
            <w:pP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Output 5</w:t>
            </w:r>
          </w:p>
        </w:tc>
        <w:tc>
          <w:tcPr>
            <w:tcW w:w="5386" w:type="dxa"/>
            <w:tcBorders>
              <w:top w:val="nil"/>
              <w:left w:val="nil"/>
              <w:bottom w:val="single" w:sz="8" w:space="0" w:color="000000"/>
              <w:right w:val="nil"/>
            </w:tcBorders>
            <w:shd w:val="clear" w:color="auto" w:fill="auto"/>
            <w:vAlign w:val="center"/>
            <w:hideMark/>
          </w:tcPr>
          <w:p w14:paraId="2743AD9A" w14:textId="43D2F819" w:rsidR="003E6E65" w:rsidRPr="003E6E65" w:rsidRDefault="003E6E65" w:rsidP="003E6E65">
            <w:pP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Improvement of related regulatory frameworks for integrity, aiming for good governance for trade development measures</w:t>
            </w:r>
          </w:p>
        </w:tc>
        <w:tc>
          <w:tcPr>
            <w:tcW w:w="1392" w:type="dxa"/>
            <w:tcBorders>
              <w:top w:val="nil"/>
              <w:left w:val="single" w:sz="8" w:space="0" w:color="000000"/>
              <w:bottom w:val="single" w:sz="8" w:space="0" w:color="000000"/>
              <w:right w:val="single" w:sz="8" w:space="0" w:color="000000"/>
            </w:tcBorders>
            <w:shd w:val="clear" w:color="auto" w:fill="auto"/>
            <w:vAlign w:val="center"/>
            <w:hideMark/>
          </w:tcPr>
          <w:p w14:paraId="6A67A8BC" w14:textId="2B7547AA" w:rsidR="003E6E65" w:rsidRPr="003E6E65" w:rsidRDefault="003E6E65" w:rsidP="00573820">
            <w:pPr>
              <w:jc w:val="cente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55,600.00</w:t>
            </w:r>
          </w:p>
        </w:tc>
        <w:tc>
          <w:tcPr>
            <w:tcW w:w="1559" w:type="dxa"/>
            <w:tcBorders>
              <w:top w:val="nil"/>
              <w:left w:val="nil"/>
              <w:bottom w:val="single" w:sz="8" w:space="0" w:color="000000"/>
              <w:right w:val="single" w:sz="8" w:space="0" w:color="000000"/>
            </w:tcBorders>
            <w:shd w:val="clear" w:color="auto" w:fill="auto"/>
            <w:vAlign w:val="center"/>
            <w:hideMark/>
          </w:tcPr>
          <w:p w14:paraId="25C1328E" w14:textId="4D4B1B60" w:rsidR="003E6E65" w:rsidRPr="003E6E65" w:rsidRDefault="003E6E65" w:rsidP="00573820">
            <w:pPr>
              <w:jc w:val="cente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28,140.50</w:t>
            </w:r>
          </w:p>
        </w:tc>
      </w:tr>
      <w:tr w:rsidR="003E6E65" w:rsidRPr="003E6E65" w14:paraId="200FB4AD" w14:textId="77777777" w:rsidTr="00BF3BB1">
        <w:trPr>
          <w:gridAfter w:val="1"/>
          <w:wAfter w:w="12" w:type="dxa"/>
          <w:trHeight w:val="322"/>
        </w:trPr>
        <w:tc>
          <w:tcPr>
            <w:tcW w:w="1408" w:type="dxa"/>
            <w:tcBorders>
              <w:top w:val="nil"/>
              <w:left w:val="single" w:sz="4" w:space="0" w:color="000000"/>
              <w:bottom w:val="single" w:sz="8" w:space="0" w:color="000000"/>
              <w:right w:val="single" w:sz="8" w:space="0" w:color="000000"/>
            </w:tcBorders>
            <w:shd w:val="clear" w:color="auto" w:fill="auto"/>
            <w:vAlign w:val="center"/>
            <w:hideMark/>
          </w:tcPr>
          <w:p w14:paraId="16A28438" w14:textId="72960FFF" w:rsidR="003E6E65" w:rsidRPr="003E6E65" w:rsidRDefault="003E6E65" w:rsidP="003E6E65">
            <w:pP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Output 6</w:t>
            </w:r>
          </w:p>
        </w:tc>
        <w:tc>
          <w:tcPr>
            <w:tcW w:w="5386" w:type="dxa"/>
            <w:tcBorders>
              <w:top w:val="nil"/>
              <w:left w:val="nil"/>
              <w:bottom w:val="single" w:sz="8" w:space="0" w:color="000000"/>
              <w:right w:val="nil"/>
            </w:tcBorders>
            <w:shd w:val="clear" w:color="auto" w:fill="auto"/>
            <w:vAlign w:val="center"/>
            <w:hideMark/>
          </w:tcPr>
          <w:p w14:paraId="73B71CE6" w14:textId="0666093D" w:rsidR="003E6E65" w:rsidRPr="003E6E65" w:rsidRDefault="003E6E65" w:rsidP="003E6E65">
            <w:pP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Supporting gender responsive mechanisms to ensure systematic integration of gender sensitivities in trade policymaking and negotiations</w:t>
            </w:r>
          </w:p>
        </w:tc>
        <w:tc>
          <w:tcPr>
            <w:tcW w:w="1392" w:type="dxa"/>
            <w:tcBorders>
              <w:top w:val="nil"/>
              <w:left w:val="single" w:sz="8" w:space="0" w:color="000000"/>
              <w:bottom w:val="single" w:sz="8" w:space="0" w:color="000000"/>
              <w:right w:val="single" w:sz="8" w:space="0" w:color="000000"/>
            </w:tcBorders>
            <w:shd w:val="clear" w:color="auto" w:fill="auto"/>
            <w:vAlign w:val="center"/>
            <w:hideMark/>
          </w:tcPr>
          <w:p w14:paraId="52DCAB79" w14:textId="55660AD0" w:rsidR="003E6E65" w:rsidRPr="003E6E65" w:rsidRDefault="003E6E65" w:rsidP="00573820">
            <w:pPr>
              <w:jc w:val="cente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51,158.52</w:t>
            </w:r>
          </w:p>
        </w:tc>
        <w:tc>
          <w:tcPr>
            <w:tcW w:w="1559" w:type="dxa"/>
            <w:tcBorders>
              <w:top w:val="nil"/>
              <w:left w:val="nil"/>
              <w:bottom w:val="single" w:sz="8" w:space="0" w:color="000000"/>
              <w:right w:val="single" w:sz="8" w:space="0" w:color="000000"/>
            </w:tcBorders>
            <w:shd w:val="clear" w:color="auto" w:fill="auto"/>
            <w:vAlign w:val="center"/>
            <w:hideMark/>
          </w:tcPr>
          <w:p w14:paraId="76AB2DFA" w14:textId="46B9BEB4" w:rsidR="003E6E65" w:rsidRPr="003E6E65" w:rsidRDefault="003E6E65" w:rsidP="00573820">
            <w:pPr>
              <w:jc w:val="center"/>
              <w:rPr>
                <w:rFonts w:ascii="Calibri" w:eastAsia="Times New Roman" w:hAnsi="Calibri" w:cs="Calibri"/>
                <w:color w:val="000000"/>
                <w:sz w:val="22"/>
                <w:szCs w:val="22"/>
                <w:lang w:val="en-GB" w:eastAsia="en-GB"/>
              </w:rPr>
            </w:pPr>
            <w:r w:rsidRPr="003E6E65">
              <w:rPr>
                <w:rFonts w:ascii="Calibri" w:eastAsia="Times New Roman" w:hAnsi="Calibri" w:cs="Calibri"/>
                <w:color w:val="000000"/>
                <w:sz w:val="22"/>
                <w:szCs w:val="22"/>
                <w:lang w:val="en-GB" w:eastAsia="en-GB"/>
              </w:rPr>
              <w:t>47,895.55</w:t>
            </w:r>
          </w:p>
        </w:tc>
      </w:tr>
      <w:tr w:rsidR="003E6E65" w:rsidRPr="003E6E65" w14:paraId="50F51C51" w14:textId="77777777" w:rsidTr="00573820">
        <w:trPr>
          <w:gridAfter w:val="1"/>
          <w:wAfter w:w="12" w:type="dxa"/>
          <w:trHeight w:val="315"/>
        </w:trPr>
        <w:tc>
          <w:tcPr>
            <w:tcW w:w="6794" w:type="dxa"/>
            <w:gridSpan w:val="2"/>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15931735" w14:textId="77777777" w:rsidR="003E6E65" w:rsidRPr="003E6E65" w:rsidRDefault="003E6E65" w:rsidP="003E6E65">
            <w:pPr>
              <w:jc w:val="cente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Subtotal Outcome 3</w:t>
            </w:r>
            <w:r w:rsidRPr="003E6E65">
              <w:rPr>
                <w:rFonts w:ascii="Calibri" w:eastAsia="Times New Roman" w:hAnsi="Calibri" w:cs="Calibri"/>
                <w:color w:val="000000"/>
                <w:sz w:val="22"/>
                <w:szCs w:val="22"/>
                <w:lang w:val="en-GB" w:eastAsia="en-GB"/>
              </w:rPr>
              <w:t> </w:t>
            </w:r>
          </w:p>
        </w:tc>
        <w:tc>
          <w:tcPr>
            <w:tcW w:w="1392" w:type="dxa"/>
            <w:tcBorders>
              <w:top w:val="nil"/>
              <w:left w:val="nil"/>
              <w:bottom w:val="nil"/>
              <w:right w:val="single" w:sz="8" w:space="0" w:color="000000"/>
            </w:tcBorders>
            <w:shd w:val="clear" w:color="auto" w:fill="auto"/>
            <w:vAlign w:val="center"/>
            <w:hideMark/>
          </w:tcPr>
          <w:p w14:paraId="46EE153C" w14:textId="5ED5E3DE" w:rsidR="003E6E65" w:rsidRPr="003E6E65" w:rsidRDefault="003E6E65" w:rsidP="00573820">
            <w:pPr>
              <w:jc w:val="cente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106,758.52</w:t>
            </w:r>
          </w:p>
        </w:tc>
        <w:tc>
          <w:tcPr>
            <w:tcW w:w="1559" w:type="dxa"/>
            <w:tcBorders>
              <w:top w:val="nil"/>
              <w:left w:val="nil"/>
              <w:bottom w:val="nil"/>
              <w:right w:val="single" w:sz="8" w:space="0" w:color="000000"/>
            </w:tcBorders>
            <w:shd w:val="clear" w:color="auto" w:fill="auto"/>
            <w:vAlign w:val="center"/>
            <w:hideMark/>
          </w:tcPr>
          <w:p w14:paraId="36B1757D" w14:textId="4E93ABBE" w:rsidR="003E6E65" w:rsidRPr="003E6E65" w:rsidRDefault="003E6E65" w:rsidP="00573820">
            <w:pPr>
              <w:jc w:val="cente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76,036.05</w:t>
            </w:r>
          </w:p>
        </w:tc>
      </w:tr>
      <w:tr w:rsidR="003E6E65" w:rsidRPr="003E6E65" w14:paraId="55435DD6" w14:textId="77777777" w:rsidTr="00573820">
        <w:trPr>
          <w:gridAfter w:val="1"/>
          <w:wAfter w:w="12" w:type="dxa"/>
          <w:trHeight w:val="315"/>
        </w:trPr>
        <w:tc>
          <w:tcPr>
            <w:tcW w:w="6794" w:type="dxa"/>
            <w:gridSpan w:val="2"/>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664C3C72" w14:textId="77777777" w:rsidR="003E6E65" w:rsidRPr="003E6E65" w:rsidRDefault="003E6E65" w:rsidP="003E6E65">
            <w:pP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TOTAL OPERATIONAL BUDGET</w:t>
            </w:r>
            <w:r w:rsidRPr="003E6E65">
              <w:rPr>
                <w:rFonts w:ascii="Calibri" w:eastAsia="Times New Roman" w:hAnsi="Calibri" w:cs="Calibri"/>
                <w:color w:val="000000"/>
                <w:sz w:val="22"/>
                <w:szCs w:val="22"/>
                <w:lang w:val="en-GB" w:eastAsia="en-GB"/>
              </w:rPr>
              <w:t> </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15B7C645" w14:textId="123067AD" w:rsidR="003E6E65" w:rsidRPr="003E6E65" w:rsidRDefault="003E6E65" w:rsidP="00573820">
            <w:pPr>
              <w:jc w:val="cente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1,905,757.42</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14:paraId="463E0B46" w14:textId="66060E8B" w:rsidR="003E6E65" w:rsidRPr="003E6E65" w:rsidRDefault="003E6E65" w:rsidP="00573820">
            <w:pPr>
              <w:jc w:val="cente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2,216,876.30</w:t>
            </w:r>
          </w:p>
        </w:tc>
      </w:tr>
      <w:tr w:rsidR="003E6E65" w:rsidRPr="003E6E65" w14:paraId="5498784C" w14:textId="77777777" w:rsidTr="00573820">
        <w:trPr>
          <w:gridAfter w:val="1"/>
          <w:wAfter w:w="12" w:type="dxa"/>
          <w:trHeight w:val="315"/>
        </w:trPr>
        <w:tc>
          <w:tcPr>
            <w:tcW w:w="6794" w:type="dxa"/>
            <w:gridSpan w:val="2"/>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1473B9AE" w14:textId="77777777" w:rsidR="003E6E65" w:rsidRPr="003E6E65" w:rsidRDefault="003E6E65" w:rsidP="003E6E65">
            <w:pP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Monitoring and Evaluation</w:t>
            </w:r>
            <w:r w:rsidRPr="003E6E65">
              <w:rPr>
                <w:rFonts w:ascii="Calibri" w:eastAsia="Times New Roman" w:hAnsi="Calibri" w:cs="Calibri"/>
                <w:color w:val="000000"/>
                <w:sz w:val="22"/>
                <w:szCs w:val="22"/>
                <w:lang w:val="en-GB" w:eastAsia="en-GB"/>
              </w:rPr>
              <w:t> </w:t>
            </w:r>
          </w:p>
        </w:tc>
        <w:tc>
          <w:tcPr>
            <w:tcW w:w="1392" w:type="dxa"/>
            <w:tcBorders>
              <w:top w:val="nil"/>
              <w:left w:val="nil"/>
              <w:bottom w:val="single" w:sz="8" w:space="0" w:color="000000"/>
              <w:right w:val="single" w:sz="8" w:space="0" w:color="000000"/>
            </w:tcBorders>
            <w:shd w:val="clear" w:color="auto" w:fill="auto"/>
            <w:vAlign w:val="center"/>
            <w:hideMark/>
          </w:tcPr>
          <w:p w14:paraId="36A70102" w14:textId="1168DB44" w:rsidR="003E6E65" w:rsidRPr="003E6E65" w:rsidRDefault="003E6E65" w:rsidP="00573820">
            <w:pPr>
              <w:jc w:val="cente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40,000.00</w:t>
            </w:r>
          </w:p>
        </w:tc>
        <w:tc>
          <w:tcPr>
            <w:tcW w:w="1559" w:type="dxa"/>
            <w:tcBorders>
              <w:top w:val="nil"/>
              <w:left w:val="nil"/>
              <w:bottom w:val="single" w:sz="8" w:space="0" w:color="000000"/>
              <w:right w:val="single" w:sz="8" w:space="0" w:color="000000"/>
            </w:tcBorders>
            <w:shd w:val="clear" w:color="auto" w:fill="auto"/>
            <w:vAlign w:val="center"/>
            <w:hideMark/>
          </w:tcPr>
          <w:p w14:paraId="3FDE776D" w14:textId="7EB08156" w:rsidR="003E6E65" w:rsidRPr="003E6E65" w:rsidRDefault="003E6E65" w:rsidP="00573820">
            <w:pPr>
              <w:jc w:val="cente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21,999.78</w:t>
            </w:r>
          </w:p>
        </w:tc>
      </w:tr>
      <w:tr w:rsidR="003E6E65" w:rsidRPr="003E6E65" w14:paraId="53D7A724" w14:textId="77777777" w:rsidTr="00573820">
        <w:trPr>
          <w:gridAfter w:val="1"/>
          <w:wAfter w:w="12" w:type="dxa"/>
          <w:trHeight w:val="315"/>
        </w:trPr>
        <w:tc>
          <w:tcPr>
            <w:tcW w:w="6794" w:type="dxa"/>
            <w:gridSpan w:val="2"/>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784BE46E" w14:textId="77777777" w:rsidR="003E6E65" w:rsidRPr="003E6E65" w:rsidRDefault="003E6E65" w:rsidP="003E6E65">
            <w:pP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GENERAL MANAGEMENT COST AT 8%</w:t>
            </w:r>
            <w:r w:rsidRPr="003E6E65">
              <w:rPr>
                <w:rFonts w:ascii="Calibri" w:eastAsia="Times New Roman" w:hAnsi="Calibri" w:cs="Calibri"/>
                <w:color w:val="000000"/>
                <w:sz w:val="22"/>
                <w:szCs w:val="22"/>
                <w:lang w:val="en-GB" w:eastAsia="en-GB"/>
              </w:rPr>
              <w:t> </w:t>
            </w:r>
          </w:p>
        </w:tc>
        <w:tc>
          <w:tcPr>
            <w:tcW w:w="1392" w:type="dxa"/>
            <w:tcBorders>
              <w:top w:val="nil"/>
              <w:left w:val="nil"/>
              <w:bottom w:val="single" w:sz="8" w:space="0" w:color="000000"/>
              <w:right w:val="single" w:sz="8" w:space="0" w:color="000000"/>
            </w:tcBorders>
            <w:shd w:val="clear" w:color="auto" w:fill="auto"/>
            <w:vAlign w:val="center"/>
            <w:hideMark/>
          </w:tcPr>
          <w:p w14:paraId="12875496" w14:textId="545EC4F0" w:rsidR="003E6E65" w:rsidRPr="003E6E65" w:rsidRDefault="003E6E65" w:rsidP="00573820">
            <w:pPr>
              <w:jc w:val="cente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155,660.59</w:t>
            </w:r>
          </w:p>
        </w:tc>
        <w:tc>
          <w:tcPr>
            <w:tcW w:w="1559" w:type="dxa"/>
            <w:tcBorders>
              <w:top w:val="nil"/>
              <w:left w:val="nil"/>
              <w:bottom w:val="single" w:sz="8" w:space="0" w:color="000000"/>
              <w:right w:val="single" w:sz="8" w:space="0" w:color="000000"/>
            </w:tcBorders>
            <w:shd w:val="clear" w:color="auto" w:fill="auto"/>
            <w:vAlign w:val="center"/>
            <w:hideMark/>
          </w:tcPr>
          <w:p w14:paraId="6CC4C572" w14:textId="52B61F67" w:rsidR="003E6E65" w:rsidRPr="003E6E65" w:rsidRDefault="003E6E65" w:rsidP="00573820">
            <w:pPr>
              <w:jc w:val="cente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179,110.09</w:t>
            </w:r>
          </w:p>
        </w:tc>
      </w:tr>
      <w:tr w:rsidR="003E6E65" w:rsidRPr="003E6E65" w14:paraId="7F2B6BAD" w14:textId="77777777" w:rsidTr="0051023F">
        <w:trPr>
          <w:gridAfter w:val="1"/>
          <w:wAfter w:w="12" w:type="dxa"/>
          <w:trHeight w:val="315"/>
        </w:trPr>
        <w:tc>
          <w:tcPr>
            <w:tcW w:w="6794" w:type="dxa"/>
            <w:gridSpan w:val="2"/>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1333EC51" w14:textId="22EB53E0" w:rsidR="003E6E65" w:rsidRPr="003E6E65" w:rsidRDefault="003E6E65" w:rsidP="003E6E65">
            <w:pP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TOTAL GRAND</w:t>
            </w:r>
            <w:r w:rsidRPr="003E6E65">
              <w:rPr>
                <w:rFonts w:ascii="Calibri" w:eastAsia="Times New Roman" w:hAnsi="Calibri" w:cs="Calibri"/>
                <w:color w:val="000000"/>
                <w:sz w:val="22"/>
                <w:szCs w:val="22"/>
                <w:lang w:val="en-GB" w:eastAsia="en-GB"/>
              </w:rPr>
              <w:t> </w:t>
            </w:r>
          </w:p>
        </w:tc>
        <w:tc>
          <w:tcPr>
            <w:tcW w:w="1392" w:type="dxa"/>
            <w:tcBorders>
              <w:top w:val="nil"/>
              <w:left w:val="nil"/>
              <w:bottom w:val="nil"/>
              <w:right w:val="single" w:sz="8" w:space="0" w:color="000000"/>
            </w:tcBorders>
            <w:shd w:val="clear" w:color="auto" w:fill="auto"/>
            <w:vAlign w:val="center"/>
            <w:hideMark/>
          </w:tcPr>
          <w:p w14:paraId="49FDA9E7" w14:textId="2FDF81B2" w:rsidR="003E6E65" w:rsidRPr="003E6E65" w:rsidRDefault="003E6E65" w:rsidP="00573820">
            <w:pPr>
              <w:jc w:val="cente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2,101,418.01</w:t>
            </w:r>
          </w:p>
        </w:tc>
        <w:tc>
          <w:tcPr>
            <w:tcW w:w="1559" w:type="dxa"/>
            <w:tcBorders>
              <w:top w:val="nil"/>
              <w:left w:val="nil"/>
              <w:bottom w:val="nil"/>
              <w:right w:val="single" w:sz="8" w:space="0" w:color="000000"/>
            </w:tcBorders>
            <w:shd w:val="clear" w:color="auto" w:fill="auto"/>
            <w:vAlign w:val="center"/>
            <w:hideMark/>
          </w:tcPr>
          <w:p w14:paraId="236BF1E4" w14:textId="2C7F43E3" w:rsidR="003E6E65" w:rsidRPr="003E6E65" w:rsidRDefault="003E6E65" w:rsidP="00573820">
            <w:pPr>
              <w:jc w:val="center"/>
              <w:rPr>
                <w:rFonts w:ascii="Calibri" w:eastAsia="Times New Roman" w:hAnsi="Calibri" w:cs="Calibri"/>
                <w:b/>
                <w:bCs/>
                <w:color w:val="000000"/>
                <w:sz w:val="22"/>
                <w:szCs w:val="22"/>
                <w:lang w:val="en-GB" w:eastAsia="en-GB"/>
              </w:rPr>
            </w:pPr>
            <w:r w:rsidRPr="003E6E65">
              <w:rPr>
                <w:rFonts w:ascii="Calibri" w:eastAsia="Times New Roman" w:hAnsi="Calibri" w:cs="Calibri"/>
                <w:b/>
                <w:bCs/>
                <w:color w:val="000000"/>
                <w:sz w:val="22"/>
                <w:szCs w:val="22"/>
                <w:lang w:val="en-GB" w:eastAsia="en-GB"/>
              </w:rPr>
              <w:t>2,417,986.17</w:t>
            </w:r>
          </w:p>
        </w:tc>
      </w:tr>
      <w:tr w:rsidR="0051023F" w:rsidRPr="003E6E65" w14:paraId="4EF3F739" w14:textId="77777777" w:rsidTr="001C6227">
        <w:trPr>
          <w:gridAfter w:val="1"/>
          <w:wAfter w:w="12" w:type="dxa"/>
          <w:trHeight w:val="315"/>
        </w:trPr>
        <w:tc>
          <w:tcPr>
            <w:tcW w:w="9745" w:type="dxa"/>
            <w:gridSpan w:val="4"/>
            <w:tcBorders>
              <w:top w:val="single" w:sz="8" w:space="0" w:color="000000"/>
              <w:left w:val="single" w:sz="4" w:space="0" w:color="000000"/>
              <w:bottom w:val="single" w:sz="8" w:space="0" w:color="000000"/>
              <w:right w:val="single" w:sz="8" w:space="0" w:color="000000"/>
            </w:tcBorders>
            <w:shd w:val="clear" w:color="auto" w:fill="auto"/>
            <w:vAlign w:val="center"/>
          </w:tcPr>
          <w:p w14:paraId="4F496D53" w14:textId="398B5DDD" w:rsidR="0051023F" w:rsidRPr="0051023F" w:rsidRDefault="0051023F" w:rsidP="0051023F">
            <w:pPr>
              <w:jc w:val="both"/>
            </w:pPr>
            <w:r w:rsidRPr="003662FF">
              <w:rPr>
                <w:rFonts w:ascii="Calibri" w:eastAsia="Times New Roman" w:hAnsi="Calibri" w:cs="Calibri"/>
                <w:color w:val="000000"/>
                <w:sz w:val="22"/>
                <w:szCs w:val="22"/>
                <w:lang w:val="en-GB" w:eastAsia="en-GB"/>
              </w:rPr>
              <w:t>UNDP confirms that the funds spent during this reporting period have been spent for the purpose of this project exclusively and in accordance with the terms and conditions of the Funding Agreement. Data contained in this report is an extract from UNDP financial records. All financial information provided above is provisional. Certified financial statements will be provided on 30 June of the following year of the reporting year.</w:t>
            </w:r>
          </w:p>
        </w:tc>
      </w:tr>
    </w:tbl>
    <w:p w14:paraId="1D78A6FB" w14:textId="768BADD3" w:rsidR="00CC09A5" w:rsidRDefault="00CC09A5" w:rsidP="00810D65">
      <w:pPr>
        <w:spacing w:before="120" w:line="280" w:lineRule="exact"/>
        <w:outlineLvl w:val="0"/>
        <w:rPr>
          <w:rFonts w:ascii="Corbel" w:hAnsi="Corbel" w:cs="Arial"/>
          <w:sz w:val="21"/>
          <w:szCs w:val="21"/>
          <w:lang w:val="en-GB"/>
        </w:rPr>
      </w:pPr>
    </w:p>
    <w:p w14:paraId="4E63CB2F" w14:textId="0C56AFDF" w:rsidR="00CC09A5" w:rsidRDefault="00CC09A5" w:rsidP="00810D65">
      <w:pPr>
        <w:spacing w:before="120" w:line="280" w:lineRule="exact"/>
        <w:outlineLvl w:val="0"/>
        <w:rPr>
          <w:rFonts w:ascii="Corbel" w:hAnsi="Corbel" w:cs="Arial"/>
          <w:sz w:val="21"/>
          <w:szCs w:val="21"/>
          <w:lang w:val="en-GB"/>
        </w:rPr>
      </w:pPr>
    </w:p>
    <w:p w14:paraId="07219801" w14:textId="77777777" w:rsidR="00CC09A5" w:rsidRDefault="00CC09A5" w:rsidP="00810D65">
      <w:pPr>
        <w:spacing w:before="120" w:line="280" w:lineRule="exact"/>
        <w:outlineLvl w:val="0"/>
        <w:rPr>
          <w:rFonts w:ascii="Corbel" w:hAnsi="Corbel" w:cs="Arial"/>
          <w:sz w:val="21"/>
          <w:szCs w:val="21"/>
          <w:lang w:val="en-GB"/>
        </w:rPr>
      </w:pPr>
    </w:p>
    <w:sectPr w:rsidR="00CC09A5" w:rsidSect="001F71C3">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B9AA" w14:textId="77777777" w:rsidR="009F4578" w:rsidRDefault="009F4578" w:rsidP="00D12064">
      <w:r>
        <w:separator/>
      </w:r>
    </w:p>
  </w:endnote>
  <w:endnote w:type="continuationSeparator" w:id="0">
    <w:p w14:paraId="2C3C2C6E" w14:textId="77777777" w:rsidR="009F4578" w:rsidRDefault="009F4578" w:rsidP="00D12064">
      <w:r>
        <w:continuationSeparator/>
      </w:r>
    </w:p>
  </w:endnote>
  <w:endnote w:type="continuationNotice" w:id="1">
    <w:p w14:paraId="470FE67A" w14:textId="77777777" w:rsidR="009F4578" w:rsidRDefault="009F4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A00002AF" w:usb1="5000204B" w:usb2="00000000" w:usb3="00000000" w:csb0="0000009F" w:csb1="00000000"/>
  </w:font>
  <w:font w:name="Corbel">
    <w:panose1 w:val="020B0503020204020204"/>
    <w:charset w:val="00"/>
    <w:family w:val="swiss"/>
    <w:pitch w:val="variable"/>
    <w:sig w:usb0="A00002EF" w:usb1="4000A44B" w:usb2="00000000"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871C" w14:textId="77777777" w:rsidR="0003093F" w:rsidRDefault="0003093F" w:rsidP="00332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F52B52" w14:textId="77777777" w:rsidR="0003093F" w:rsidRDefault="00030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552615445"/>
      <w:docPartObj>
        <w:docPartGallery w:val="Page Numbers (Bottom of Page)"/>
        <w:docPartUnique/>
      </w:docPartObj>
    </w:sdtPr>
    <w:sdtEndPr>
      <w:rPr>
        <w:color w:val="7F7F7F" w:themeColor="background1" w:themeShade="7F"/>
        <w:spacing w:val="60"/>
      </w:rPr>
    </w:sdtEndPr>
    <w:sdtContent>
      <w:p w14:paraId="200DAD58" w14:textId="7C69808D" w:rsidR="0003093F" w:rsidRPr="006B2501" w:rsidRDefault="0003093F">
        <w:pPr>
          <w:pStyle w:val="Footer"/>
          <w:pBdr>
            <w:top w:val="single" w:sz="4" w:space="1" w:color="D9D9D9" w:themeColor="background1" w:themeShade="D9"/>
          </w:pBdr>
          <w:rPr>
            <w:rFonts w:asciiTheme="minorHAnsi" w:hAnsiTheme="minorHAnsi" w:cstheme="minorHAnsi"/>
            <w:b/>
            <w:bCs/>
            <w:sz w:val="20"/>
            <w:szCs w:val="20"/>
          </w:rPr>
        </w:pPr>
        <w:r w:rsidRPr="006B2501">
          <w:rPr>
            <w:rFonts w:asciiTheme="minorHAnsi" w:hAnsiTheme="minorHAnsi" w:cstheme="minorHAnsi"/>
            <w:sz w:val="20"/>
            <w:szCs w:val="20"/>
          </w:rPr>
          <w:fldChar w:fldCharType="begin"/>
        </w:r>
        <w:r w:rsidRPr="006B2501">
          <w:rPr>
            <w:rFonts w:asciiTheme="minorHAnsi" w:hAnsiTheme="minorHAnsi" w:cstheme="minorHAnsi"/>
            <w:sz w:val="20"/>
            <w:szCs w:val="20"/>
          </w:rPr>
          <w:instrText xml:space="preserve"> PAGE   \* MERGEFORMAT </w:instrText>
        </w:r>
        <w:r w:rsidRPr="006B2501">
          <w:rPr>
            <w:rFonts w:asciiTheme="minorHAnsi" w:hAnsiTheme="minorHAnsi" w:cstheme="minorHAnsi"/>
            <w:sz w:val="20"/>
            <w:szCs w:val="20"/>
          </w:rPr>
          <w:fldChar w:fldCharType="separate"/>
        </w:r>
        <w:r w:rsidRPr="00C3357F">
          <w:rPr>
            <w:rFonts w:asciiTheme="minorHAnsi" w:hAnsiTheme="minorHAnsi" w:cstheme="minorHAnsi"/>
            <w:bCs/>
            <w:noProof/>
            <w:sz w:val="20"/>
            <w:szCs w:val="20"/>
          </w:rPr>
          <w:t>2</w:t>
        </w:r>
        <w:r w:rsidRPr="006B2501">
          <w:rPr>
            <w:rFonts w:asciiTheme="minorHAnsi" w:hAnsiTheme="minorHAnsi" w:cstheme="minorHAnsi"/>
            <w:bCs/>
            <w:noProof/>
            <w:sz w:val="20"/>
            <w:szCs w:val="20"/>
          </w:rPr>
          <w:fldChar w:fldCharType="end"/>
        </w:r>
        <w:r>
          <w:rPr>
            <w:rFonts w:asciiTheme="minorHAnsi" w:hAnsiTheme="minorHAnsi" w:cstheme="minorHAnsi"/>
            <w:bCs/>
            <w:sz w:val="20"/>
            <w:szCs w:val="20"/>
          </w:rPr>
          <w:t xml:space="preserve"> | Final Progress Report </w:t>
        </w:r>
        <w:r w:rsidR="002A1BA3">
          <w:rPr>
            <w:rFonts w:asciiTheme="minorHAnsi" w:hAnsiTheme="minorHAnsi" w:cstheme="minorHAnsi"/>
            <w:bCs/>
            <w:sz w:val="20"/>
            <w:szCs w:val="20"/>
          </w:rPr>
          <w:t>2017-</w:t>
        </w:r>
        <w:r>
          <w:rPr>
            <w:rFonts w:asciiTheme="minorHAnsi" w:hAnsiTheme="minorHAnsi" w:cstheme="minorHAnsi"/>
            <w:bCs/>
            <w:sz w:val="20"/>
            <w:szCs w:val="20"/>
          </w:rPr>
          <w:t>202</w:t>
        </w:r>
        <w:r w:rsidR="00C33B78">
          <w:rPr>
            <w:rFonts w:asciiTheme="minorHAnsi" w:hAnsiTheme="minorHAnsi" w:cstheme="minorHAnsi"/>
            <w:bCs/>
            <w:sz w:val="20"/>
            <w:szCs w:val="20"/>
          </w:rPr>
          <w:t>2</w:t>
        </w:r>
        <w:r>
          <w:rPr>
            <w:rFonts w:asciiTheme="minorHAnsi" w:hAnsiTheme="minorHAnsi" w:cstheme="minorHAnsi"/>
            <w:bCs/>
            <w:sz w:val="20"/>
            <w:szCs w:val="20"/>
          </w:rPr>
          <w:t>-–Strengthening Arab Economic Integration for Sustainable Development</w:t>
        </w:r>
      </w:p>
    </w:sdtContent>
  </w:sdt>
  <w:p w14:paraId="47BFC18A" w14:textId="77777777" w:rsidR="0003093F" w:rsidRPr="006B2501" w:rsidRDefault="00030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CCF2" w14:textId="77777777" w:rsidR="0003093F" w:rsidRPr="00E668F2" w:rsidRDefault="0003093F" w:rsidP="00332E3B">
    <w:pPr>
      <w:pStyle w:val="Footer"/>
      <w:pBdr>
        <w:top w:val="single" w:sz="4" w:space="1" w:color="D9D9D9"/>
      </w:pBdr>
      <w:jc w:val="right"/>
      <w:rPr>
        <w:rFonts w:ascii="Calibri" w:hAnsi="Calibri"/>
        <w:sz w:val="18"/>
      </w:rPr>
    </w:pPr>
    <w:r w:rsidRPr="00E668F2">
      <w:rPr>
        <w:rFonts w:ascii="Calibri" w:hAnsi="Calibri"/>
        <w:sz w:val="18"/>
      </w:rPr>
      <w:fldChar w:fldCharType="begin"/>
    </w:r>
    <w:r w:rsidRPr="00E668F2">
      <w:rPr>
        <w:rFonts w:ascii="Calibri" w:hAnsi="Calibri"/>
        <w:sz w:val="18"/>
      </w:rPr>
      <w:instrText xml:space="preserve"> PAGE   \* MERGEFORMAT </w:instrText>
    </w:r>
    <w:r w:rsidRPr="00E668F2">
      <w:rPr>
        <w:rFonts w:ascii="Calibri" w:hAnsi="Calibri"/>
        <w:sz w:val="18"/>
      </w:rPr>
      <w:fldChar w:fldCharType="separate"/>
    </w:r>
    <w:r>
      <w:rPr>
        <w:rFonts w:ascii="Calibri" w:hAnsi="Calibri"/>
        <w:noProof/>
        <w:sz w:val="18"/>
      </w:rPr>
      <w:t>1</w:t>
    </w:r>
    <w:r w:rsidRPr="00E668F2">
      <w:rPr>
        <w:rFonts w:ascii="Calibri" w:hAnsi="Calibri"/>
        <w:noProof/>
        <w:sz w:val="18"/>
      </w:rPr>
      <w:fldChar w:fldCharType="end"/>
    </w:r>
    <w:r w:rsidRPr="00E668F2">
      <w:rPr>
        <w:rFonts w:ascii="Calibri" w:hAnsi="Calibri"/>
        <w:sz w:val="18"/>
      </w:rPr>
      <w:t xml:space="preserve"> | </w:t>
    </w:r>
    <w:r w:rsidRPr="00E668F2">
      <w:rPr>
        <w:rFonts w:ascii="Calibri" w:hAnsi="Calibri"/>
        <w:color w:val="808080"/>
        <w:spacing w:val="60"/>
        <w:sz w:val="18"/>
      </w:rPr>
      <w:t>Page</w:t>
    </w:r>
  </w:p>
  <w:p w14:paraId="1260479E" w14:textId="77777777" w:rsidR="0003093F" w:rsidRDefault="00030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BA94" w14:textId="77777777" w:rsidR="009F4578" w:rsidRDefault="009F4578" w:rsidP="00D12064">
      <w:r>
        <w:separator/>
      </w:r>
    </w:p>
  </w:footnote>
  <w:footnote w:type="continuationSeparator" w:id="0">
    <w:p w14:paraId="5AAA9396" w14:textId="77777777" w:rsidR="009F4578" w:rsidRDefault="009F4578" w:rsidP="00D12064">
      <w:r>
        <w:continuationSeparator/>
      </w:r>
    </w:p>
  </w:footnote>
  <w:footnote w:type="continuationNotice" w:id="1">
    <w:p w14:paraId="027C4ACD" w14:textId="77777777" w:rsidR="009F4578" w:rsidRDefault="009F4578"/>
  </w:footnote>
  <w:footnote w:id="2">
    <w:p w14:paraId="0470EA49" w14:textId="5721F3BC" w:rsidR="00F9273E" w:rsidRPr="00F9273E" w:rsidRDefault="00F9273E">
      <w:pPr>
        <w:pStyle w:val="FootnoteText"/>
      </w:pPr>
      <w:r>
        <w:rPr>
          <w:rStyle w:val="FootnoteReference"/>
        </w:rPr>
        <w:footnoteRef/>
      </w:r>
      <w:r>
        <w:t xml:space="preserve"> </w:t>
      </w:r>
      <w:r w:rsidRPr="00F9273E">
        <w:t>United Nations Conference on Trade and Development</w:t>
      </w:r>
      <w:r>
        <w:t xml:space="preserve"> </w:t>
      </w:r>
      <w:hyperlink r:id="rId1" w:history="1">
        <w:r w:rsidR="001E04CC" w:rsidRPr="002877F4">
          <w:rPr>
            <w:rStyle w:val="Hyperlink"/>
          </w:rPr>
          <w:t>https://unctad.org/statistics</w:t>
        </w:r>
      </w:hyperlink>
      <w:r w:rsidR="00CC6A8D">
        <w:t>.</w:t>
      </w:r>
    </w:p>
  </w:footnote>
  <w:footnote w:id="3">
    <w:p w14:paraId="77953373" w14:textId="5D6123FE" w:rsidR="007015FC" w:rsidRPr="004C3591" w:rsidRDefault="007015FC">
      <w:pPr>
        <w:pStyle w:val="FootnoteText"/>
        <w:rPr>
          <w:lang w:val="en-GB"/>
        </w:rPr>
      </w:pPr>
      <w:r>
        <w:rPr>
          <w:rStyle w:val="FootnoteReference"/>
        </w:rPr>
        <w:footnoteRef/>
      </w:r>
      <w:r>
        <w:t xml:space="preserve"> </w:t>
      </w:r>
      <w:r w:rsidRPr="007015FC">
        <w:t xml:space="preserve">The World Bank. </w:t>
      </w:r>
      <w:hyperlink r:id="rId2" w:history="1">
        <w:r w:rsidRPr="004C3591">
          <w:rPr>
            <w:rStyle w:val="Hyperlink"/>
            <w:lang w:val="en-GB"/>
          </w:rPr>
          <w:t>https://databank.worldbank.org/source/world-development-indicators</w:t>
        </w:r>
      </w:hyperlink>
    </w:p>
  </w:footnote>
  <w:footnote w:id="4">
    <w:p w14:paraId="46026B78" w14:textId="0EF46238" w:rsidR="00BB45D0" w:rsidRDefault="00BB45D0">
      <w:pPr>
        <w:pStyle w:val="FootnoteText"/>
      </w:pPr>
      <w:r>
        <w:rPr>
          <w:rStyle w:val="FootnoteReference"/>
        </w:rPr>
        <w:footnoteRef/>
      </w:r>
      <w:r>
        <w:t xml:space="preserve"> Ib</w:t>
      </w:r>
      <w:r w:rsidR="0084513D">
        <w:t>i</w:t>
      </w:r>
      <w:r>
        <w:t>d</w:t>
      </w:r>
      <w:r w:rsidR="0084513D">
        <w:t xml:space="preserve">. </w:t>
      </w:r>
    </w:p>
  </w:footnote>
  <w:footnote w:id="5">
    <w:p w14:paraId="0551C8D1" w14:textId="6A39F60A" w:rsidR="00550E7C" w:rsidRDefault="00550E7C" w:rsidP="00550E7C">
      <w:pPr>
        <w:pStyle w:val="FootnoteText"/>
      </w:pPr>
      <w:r>
        <w:rPr>
          <w:rStyle w:val="FootnoteReference"/>
        </w:rPr>
        <w:footnoteRef/>
      </w:r>
      <w:r>
        <w:t xml:space="preserve"> United Nations Economic and Social Commission for West Asia (ESCWA). 2017. Transport and Connectivity to Global Value Chains: Illustrations from the Arab Region.</w:t>
      </w:r>
      <w:r w:rsidR="0033176A">
        <w:t xml:space="preserve"> </w:t>
      </w:r>
      <w:hyperlink r:id="rId3" w:history="1">
        <w:r w:rsidR="0033176A" w:rsidRPr="002877F4">
          <w:rPr>
            <w:rStyle w:val="Hyperlink"/>
          </w:rPr>
          <w:t>https://www.unescwa.org/publications/transport-connectivity-global-value-chains</w:t>
        </w:r>
      </w:hyperlink>
      <w:r w:rsidR="0033176A">
        <w:t xml:space="preserve">. </w:t>
      </w:r>
    </w:p>
  </w:footnote>
  <w:footnote w:id="6">
    <w:p w14:paraId="3BE637A1" w14:textId="77777777" w:rsidR="006239B6" w:rsidRPr="003823D9" w:rsidRDefault="006239B6" w:rsidP="006239B6">
      <w:pPr>
        <w:pStyle w:val="FootnoteText"/>
        <w:rPr>
          <w:lang w:val="en-GB"/>
        </w:rPr>
      </w:pPr>
      <w:r>
        <w:rPr>
          <w:rStyle w:val="FootnoteReference"/>
        </w:rPr>
        <w:footnoteRef/>
      </w:r>
      <w:r>
        <w:t xml:space="preserve"> </w:t>
      </w:r>
      <w:r>
        <w:rPr>
          <w:lang w:val="en-GB"/>
        </w:rPr>
        <w:t>World Bank, MENA Economic Update (October 2021)</w:t>
      </w:r>
    </w:p>
  </w:footnote>
  <w:footnote w:id="7">
    <w:p w14:paraId="09F0E0F3" w14:textId="77777777" w:rsidR="006239B6" w:rsidRPr="00690950" w:rsidRDefault="006239B6" w:rsidP="006239B6">
      <w:pPr>
        <w:pStyle w:val="FootnoteText"/>
        <w:rPr>
          <w:lang w:val="en-GB"/>
        </w:rPr>
      </w:pPr>
      <w:r>
        <w:rPr>
          <w:rStyle w:val="FootnoteReference"/>
        </w:rPr>
        <w:footnoteRef/>
      </w:r>
      <w:r>
        <w:t xml:space="preserve"> </w:t>
      </w:r>
      <w:r>
        <w:rPr>
          <w:lang w:val="en-GB"/>
        </w:rPr>
        <w:t>UNCTAD, International Merchandise Trade 2020.</w:t>
      </w:r>
    </w:p>
  </w:footnote>
  <w:footnote w:id="8">
    <w:p w14:paraId="0BFFAD92" w14:textId="30117C15" w:rsidR="006239B6" w:rsidRPr="00C120C5" w:rsidRDefault="006239B6" w:rsidP="006239B6">
      <w:pPr>
        <w:pStyle w:val="FootnoteText"/>
        <w:rPr>
          <w:b/>
          <w:bCs/>
          <w:lang w:val="en-GB"/>
        </w:rPr>
      </w:pPr>
      <w:r>
        <w:rPr>
          <w:rStyle w:val="FootnoteReference"/>
        </w:rPr>
        <w:footnoteRef/>
      </w:r>
      <w:r>
        <w:t xml:space="preserve"> </w:t>
      </w:r>
      <w:r w:rsidRPr="004E26E9">
        <w:rPr>
          <w:lang w:val="en-GB"/>
        </w:rPr>
        <w:t>W</w:t>
      </w:r>
      <w:r w:rsidRPr="003A41CE">
        <w:rPr>
          <w:lang w:val="en-GB"/>
        </w:rPr>
        <w:t xml:space="preserve">TO, Trade Statistics 2021, </w:t>
      </w:r>
      <w:r w:rsidRPr="003823D9">
        <w:rPr>
          <w:lang w:val="en-GB"/>
        </w:rPr>
        <w:t>https://www.wto.org/english/res_e/statis_e/wts2021_e/wts2021_e.pdf</w:t>
      </w:r>
    </w:p>
  </w:footnote>
  <w:footnote w:id="9">
    <w:p w14:paraId="5A5F6FC7" w14:textId="115CE623" w:rsidR="006239B6" w:rsidRPr="00C120C5" w:rsidRDefault="006239B6" w:rsidP="006239B6">
      <w:pPr>
        <w:pStyle w:val="FootnoteText"/>
        <w:rPr>
          <w:b/>
          <w:bCs/>
          <w:lang w:val="en-GB"/>
        </w:rPr>
      </w:pPr>
      <w:r>
        <w:rPr>
          <w:rStyle w:val="FootnoteReference"/>
        </w:rPr>
        <w:footnoteRef/>
      </w:r>
      <w:r>
        <w:t xml:space="preserve"> </w:t>
      </w:r>
      <w:r>
        <w:rPr>
          <w:lang w:val="en-GB"/>
        </w:rPr>
        <w:t>WTO</w:t>
      </w:r>
      <w:r w:rsidRPr="003A41CE">
        <w:rPr>
          <w:lang w:val="en-GB"/>
        </w:rPr>
        <w:t xml:space="preserve">, Trade Statistics 2021, </w:t>
      </w:r>
      <w:r w:rsidRPr="003823D9">
        <w:rPr>
          <w:lang w:val="en-GB"/>
        </w:rPr>
        <w:t>https://www.wto.org/english/res_e/statis_e/wts2021_e/wts2021_e.pdf</w:t>
      </w:r>
    </w:p>
  </w:footnote>
  <w:footnote w:id="10">
    <w:p w14:paraId="57FE674C" w14:textId="77777777" w:rsidR="00E915B1" w:rsidRPr="00F570AE" w:rsidRDefault="00E915B1" w:rsidP="00E915B1">
      <w:pPr>
        <w:pStyle w:val="FootnoteText"/>
        <w:rPr>
          <w:lang w:val="en-GB"/>
        </w:rPr>
      </w:pPr>
      <w:r>
        <w:rPr>
          <w:rStyle w:val="FootnoteReference"/>
        </w:rPr>
        <w:footnoteRef/>
      </w:r>
      <w:r>
        <w:t xml:space="preserve"> “</w:t>
      </w:r>
      <w:r w:rsidRPr="0046485A">
        <w:t>Towards a Productive and Inclusive Path: Job Creation in the Arab Region</w:t>
      </w:r>
      <w:r>
        <w:t>”,</w:t>
      </w:r>
      <w:r w:rsidRPr="00226CC3">
        <w:t xml:space="preserve"> </w:t>
      </w:r>
      <w:r>
        <w:t>ILO and ESCWA, 2021</w:t>
      </w:r>
    </w:p>
  </w:footnote>
  <w:footnote w:id="11">
    <w:p w14:paraId="55CDA11B" w14:textId="47925618" w:rsidR="00E915B1" w:rsidRDefault="00E915B1" w:rsidP="00E915B1">
      <w:pPr>
        <w:pStyle w:val="FootnoteText"/>
      </w:pPr>
      <w:r>
        <w:rPr>
          <w:rStyle w:val="FootnoteReference"/>
        </w:rPr>
        <w:footnoteRef/>
      </w:r>
      <w:r>
        <w:t xml:space="preserve"> The mechanism was adopted during the September 2020 ECOSOC regular meeting.</w:t>
      </w:r>
    </w:p>
  </w:footnote>
  <w:footnote w:id="12">
    <w:p w14:paraId="4CAA621F" w14:textId="77777777" w:rsidR="00E915B1" w:rsidRDefault="00E915B1" w:rsidP="00E915B1">
      <w:pPr>
        <w:pStyle w:val="FootnoteText"/>
      </w:pPr>
      <w:r>
        <w:rPr>
          <w:rStyle w:val="FootnoteReference"/>
        </w:rPr>
        <w:footnoteRef/>
      </w:r>
      <w:r>
        <w:t xml:space="preserve"> Arab Sustainable Development Report 2020, ESCWA </w:t>
      </w:r>
    </w:p>
  </w:footnote>
  <w:footnote w:id="13">
    <w:p w14:paraId="3F832CE2" w14:textId="77777777" w:rsidR="00E915B1" w:rsidRPr="00DC76E6" w:rsidRDefault="00E915B1" w:rsidP="00E915B1">
      <w:pPr>
        <w:pStyle w:val="FootnoteText"/>
      </w:pPr>
      <w:r>
        <w:rPr>
          <w:rStyle w:val="FootnoteReference"/>
        </w:rPr>
        <w:footnoteRef/>
      </w:r>
      <w:r>
        <w:t xml:space="preserve"> </w:t>
      </w:r>
      <w:r w:rsidRPr="007D4266">
        <w:t>Assessing Arab Economic Integration: Trade in Services as a Driver of Growth and Development”.</w:t>
      </w:r>
      <w:r>
        <w:t xml:space="preserve"> </w:t>
      </w:r>
      <w:r w:rsidRPr="00DC76E6">
        <w:t>ESCWA, 2018</w:t>
      </w:r>
    </w:p>
  </w:footnote>
  <w:footnote w:id="14">
    <w:p w14:paraId="1AB786C3" w14:textId="77777777" w:rsidR="00EB3149" w:rsidRDefault="00EB3149" w:rsidP="00EB3149">
      <w:pPr>
        <w:pStyle w:val="FootnoteText"/>
      </w:pPr>
      <w:r>
        <w:rPr>
          <w:rStyle w:val="FootnoteReference"/>
        </w:rPr>
        <w:footnoteRef/>
      </w:r>
      <w:r>
        <w:t xml:space="preserve"> ESCWA 2017, </w:t>
      </w:r>
      <w:r w:rsidRPr="00455087">
        <w:t>(2017). “Transport and Connectivity to Global Value Chains: Illustrations from the Arab Region”. Beirut. www.unescwa.org/sites/www.unescwa.org/files/publications/files/transport-connectivity-global-value-chains-english_0.pdf</w:t>
      </w:r>
    </w:p>
  </w:footnote>
  <w:footnote w:id="15">
    <w:p w14:paraId="0DB99D64" w14:textId="77777777" w:rsidR="00EB3149" w:rsidRDefault="00EB3149" w:rsidP="00EB3149">
      <w:pPr>
        <w:pStyle w:val="FootnoteText"/>
      </w:pPr>
      <w:r>
        <w:rPr>
          <w:rStyle w:val="FootnoteReference"/>
        </w:rPr>
        <w:footnoteRef/>
      </w:r>
      <w:r>
        <w:t xml:space="preserve"> </w:t>
      </w:r>
      <w:r w:rsidRPr="0059515A">
        <w:rPr>
          <w:lang w:val="en-GB"/>
        </w:rPr>
        <w:t>Arab Monetary Fund, Joint Economic Report 2020,</w:t>
      </w:r>
      <w:r w:rsidRPr="0059515A">
        <w:t xml:space="preserve"> Chapter 8-International and Intra-Regional Trade</w:t>
      </w:r>
    </w:p>
  </w:footnote>
  <w:footnote w:id="16">
    <w:p w14:paraId="043278FE" w14:textId="5DFAEDA9" w:rsidR="00EB3149" w:rsidRPr="0004407E" w:rsidRDefault="00EB3149" w:rsidP="00EB3149">
      <w:pPr>
        <w:pStyle w:val="FootnoteText"/>
        <w:rPr>
          <w:lang w:val="en-GB"/>
        </w:rPr>
      </w:pPr>
      <w:r>
        <w:rPr>
          <w:rStyle w:val="FootnoteReference"/>
        </w:rPr>
        <w:footnoteRef/>
      </w:r>
      <w:r>
        <w:t xml:space="preserve"> </w:t>
      </w:r>
      <w:r w:rsidRPr="006C1D37">
        <w:t xml:space="preserve">The World Bank. </w:t>
      </w:r>
      <w:r w:rsidRPr="006C1D37">
        <w:rPr>
          <w:i/>
          <w:iCs/>
        </w:rPr>
        <w:t>World Development Indicators</w:t>
      </w:r>
      <w:r w:rsidR="0004407E">
        <w:rPr>
          <w:i/>
          <w:iCs/>
        </w:rPr>
        <w:t xml:space="preserve"> </w:t>
      </w:r>
      <w:hyperlink r:id="rId4" w:history="1">
        <w:r w:rsidRPr="0004407E">
          <w:rPr>
            <w:rStyle w:val="Hyperlink"/>
            <w:lang w:val="en-GB"/>
          </w:rPr>
          <w:t>https://databank.worldbank.org/source/world-development-indicators</w:t>
        </w:r>
      </w:hyperlink>
      <w:r w:rsidRPr="0004407E">
        <w:rPr>
          <w:lang w:val="en-GB"/>
        </w:rPr>
        <w:t> </w:t>
      </w:r>
      <w:bookmarkStart w:id="24" w:name="_Hlk69816605"/>
    </w:p>
    <w:bookmarkEnd w:id="24"/>
  </w:footnote>
  <w:footnote w:id="17">
    <w:p w14:paraId="1F585F7F" w14:textId="77777777" w:rsidR="00EB3149" w:rsidRPr="00F77683" w:rsidRDefault="00EB3149" w:rsidP="00EB3149">
      <w:pPr>
        <w:pStyle w:val="FootnoteText"/>
        <w:rPr>
          <w:lang w:val="en-GB"/>
        </w:rPr>
      </w:pPr>
      <w:r>
        <w:rPr>
          <w:rStyle w:val="FootnoteReference"/>
        </w:rPr>
        <w:footnoteRef/>
      </w:r>
      <w:r>
        <w:t xml:space="preserve"> </w:t>
      </w:r>
      <w:bookmarkStart w:id="25" w:name="_Hlk69816906"/>
      <w:r>
        <w:rPr>
          <w:lang w:val="en-GB"/>
        </w:rPr>
        <w:t>Arab Monetary Fund, Joint Economic Report 2020,</w:t>
      </w:r>
      <w:r>
        <w:rPr>
          <w:rFonts w:ascii="Arial" w:hAnsi="Arial" w:cs="Arial"/>
          <w:sz w:val="30"/>
          <w:szCs w:val="30"/>
        </w:rPr>
        <w:t xml:space="preserve"> </w:t>
      </w:r>
      <w:r w:rsidRPr="00F77683">
        <w:rPr>
          <w:sz w:val="18"/>
          <w:szCs w:val="18"/>
        </w:rPr>
        <w:t>Chapter 8</w:t>
      </w:r>
      <w:r>
        <w:rPr>
          <w:sz w:val="18"/>
          <w:szCs w:val="18"/>
        </w:rPr>
        <w:t>-</w:t>
      </w:r>
      <w:r w:rsidRPr="00F77683">
        <w:rPr>
          <w:sz w:val="18"/>
          <w:szCs w:val="18"/>
        </w:rPr>
        <w:t>International and Intra-Regional Trade</w:t>
      </w:r>
      <w:r w:rsidDel="002B4821">
        <w:t xml:space="preserve"> </w:t>
      </w:r>
      <w:bookmarkEnd w:id="25"/>
    </w:p>
  </w:footnote>
  <w:footnote w:id="18">
    <w:p w14:paraId="56A760E5" w14:textId="77777777" w:rsidR="004470E4" w:rsidRPr="002E60D8" w:rsidRDefault="004470E4" w:rsidP="004470E4">
      <w:pPr>
        <w:pStyle w:val="FootnoteText"/>
      </w:pPr>
      <w:r>
        <w:rPr>
          <w:rStyle w:val="FootnoteReference"/>
        </w:rPr>
        <w:footnoteRef/>
      </w:r>
      <w:r>
        <w:t xml:space="preserve"> </w:t>
      </w:r>
      <w:r w:rsidRPr="0059515A">
        <w:rPr>
          <w:lang w:val="en-GB"/>
        </w:rPr>
        <w:t>Arab Monetary Fund, Joint Economic Report 2020,</w:t>
      </w:r>
      <w:r w:rsidRPr="0059515A">
        <w:t xml:space="preserve"> Chapter 8-International and Intra-Regional Trade</w:t>
      </w:r>
    </w:p>
  </w:footnote>
  <w:footnote w:id="19">
    <w:p w14:paraId="79F8CE6C" w14:textId="77777777" w:rsidR="00903080" w:rsidRPr="003823D9" w:rsidRDefault="00903080" w:rsidP="00903080">
      <w:pPr>
        <w:pStyle w:val="FootnoteText"/>
        <w:rPr>
          <w:lang w:val="en-GB"/>
        </w:rPr>
      </w:pPr>
      <w:r>
        <w:rPr>
          <w:rStyle w:val="FootnoteReference"/>
        </w:rPr>
        <w:footnoteRef/>
      </w:r>
      <w:r>
        <w:t xml:space="preserve"> </w:t>
      </w:r>
      <w:r>
        <w:rPr>
          <w:lang w:val="en-GB"/>
        </w:rPr>
        <w:t>World Bank, MENA Economic Update (October 2021)</w:t>
      </w:r>
    </w:p>
  </w:footnote>
  <w:footnote w:id="20">
    <w:p w14:paraId="393D9A6E" w14:textId="524837CC" w:rsidR="003871CD" w:rsidRPr="00762210" w:rsidRDefault="003871CD" w:rsidP="003871CD">
      <w:pPr>
        <w:pStyle w:val="FootnoteText"/>
        <w:rPr>
          <w:lang w:val="en-GB"/>
        </w:rPr>
      </w:pPr>
      <w:r>
        <w:rPr>
          <w:rStyle w:val="FootnoteReference"/>
        </w:rPr>
        <w:footnoteRef/>
      </w:r>
      <w:r>
        <w:t xml:space="preserve"> </w:t>
      </w:r>
      <w:hyperlink r:id="rId5" w:history="1">
        <w:r>
          <w:rPr>
            <w:rStyle w:val="Hyperlink"/>
          </w:rPr>
          <w:t>Kristalina Georgieva</w:t>
        </w:r>
      </w:hyperlink>
      <w:r>
        <w:t>, Managing Director of IMF, Arab Fiscal Virtual Forum Ministerial Meeting (November 20210.</w:t>
      </w:r>
    </w:p>
  </w:footnote>
  <w:footnote w:id="21">
    <w:p w14:paraId="3B2F3397" w14:textId="496D76EC" w:rsidR="006962B2" w:rsidRDefault="006962B2">
      <w:pPr>
        <w:pStyle w:val="FootnoteText"/>
      </w:pPr>
      <w:r>
        <w:rPr>
          <w:rStyle w:val="FootnoteReference"/>
        </w:rPr>
        <w:footnoteRef/>
      </w:r>
      <w:r>
        <w:t xml:space="preserve"> </w:t>
      </w:r>
      <w:r w:rsidR="003A2AEE">
        <w:t xml:space="preserve">IMF, </w:t>
      </w:r>
      <w:r w:rsidR="003A2AEE" w:rsidRPr="003A2AEE">
        <w:t xml:space="preserve">April 2022 </w:t>
      </w:r>
      <w:r w:rsidR="003A2AEE" w:rsidRPr="003A2AEE">
        <w:rPr>
          <w:i/>
          <w:iCs/>
        </w:rPr>
        <w:t>Regional Economic Outlook (REO): Middle East and Central Asia</w:t>
      </w:r>
    </w:p>
  </w:footnote>
  <w:footnote w:id="22">
    <w:p w14:paraId="591403F0" w14:textId="77777777" w:rsidR="00903080" w:rsidRPr="00690950" w:rsidRDefault="00903080" w:rsidP="00903080">
      <w:pPr>
        <w:pStyle w:val="FootnoteText"/>
        <w:rPr>
          <w:lang w:val="en-GB"/>
        </w:rPr>
      </w:pPr>
      <w:r>
        <w:rPr>
          <w:rStyle w:val="FootnoteReference"/>
        </w:rPr>
        <w:footnoteRef/>
      </w:r>
      <w:r>
        <w:t xml:space="preserve"> </w:t>
      </w:r>
      <w:r>
        <w:rPr>
          <w:lang w:val="en-GB"/>
        </w:rPr>
        <w:t>UNCTAD, International Merchandise Trade 2020.</w:t>
      </w:r>
    </w:p>
  </w:footnote>
  <w:footnote w:id="23">
    <w:p w14:paraId="2A906662" w14:textId="29CE0B77" w:rsidR="00D2559A" w:rsidRPr="00FF497F" w:rsidRDefault="00D2559A" w:rsidP="00D2559A">
      <w:pPr>
        <w:pStyle w:val="FootnoteText"/>
        <w:rPr>
          <w:b/>
          <w:bCs/>
          <w:lang w:val="en-GB"/>
        </w:rPr>
      </w:pPr>
      <w:r>
        <w:rPr>
          <w:rStyle w:val="FootnoteReference"/>
        </w:rPr>
        <w:footnoteRef/>
      </w:r>
      <w:r>
        <w:t xml:space="preserve"> </w:t>
      </w:r>
      <w:r w:rsidRPr="00762210">
        <w:t>WTO, World Trade Statistics Review 2021, www.wto.org/statistics</w:t>
      </w:r>
    </w:p>
  </w:footnote>
  <w:footnote w:id="24">
    <w:p w14:paraId="43640A3C" w14:textId="77777777" w:rsidR="004809B9" w:rsidRPr="00762210" w:rsidRDefault="004809B9" w:rsidP="004809B9">
      <w:pPr>
        <w:pStyle w:val="FootnoteText"/>
        <w:rPr>
          <w:lang w:val="en-GB"/>
        </w:rPr>
      </w:pPr>
      <w:r>
        <w:rPr>
          <w:rStyle w:val="FootnoteReference"/>
        </w:rPr>
        <w:footnoteRef/>
      </w:r>
      <w:r>
        <w:t xml:space="preserve"> </w:t>
      </w:r>
      <w:r w:rsidRPr="006D05C5">
        <w:t>https://www.statista.com/statistics/806350/trade-balance-of-goods-in-the-arab-world-countries/</w:t>
      </w:r>
    </w:p>
  </w:footnote>
  <w:footnote w:id="25">
    <w:p w14:paraId="2FC3FB91" w14:textId="77777777" w:rsidR="001655EC" w:rsidRPr="00762210" w:rsidRDefault="001655EC" w:rsidP="001655EC">
      <w:pPr>
        <w:pStyle w:val="FootnoteText"/>
        <w:rPr>
          <w:lang w:val="en-GB"/>
        </w:rPr>
      </w:pPr>
      <w:r>
        <w:rPr>
          <w:rStyle w:val="FootnoteReference"/>
        </w:rPr>
        <w:footnoteRef/>
      </w:r>
      <w:r>
        <w:t xml:space="preserve"> </w:t>
      </w:r>
      <w:r>
        <w:rPr>
          <w:lang w:val="en-GB"/>
        </w:rPr>
        <w:t>UNCTAD, Global Trade Update, November 2021.</w:t>
      </w:r>
    </w:p>
  </w:footnote>
  <w:footnote w:id="26">
    <w:p w14:paraId="58E988C6" w14:textId="77777777" w:rsidR="003D4B66" w:rsidRDefault="003D4B66" w:rsidP="003D4B66">
      <w:pPr>
        <w:pStyle w:val="FootnoteText"/>
      </w:pPr>
      <w:r>
        <w:rPr>
          <w:rStyle w:val="FootnoteReference"/>
        </w:rPr>
        <w:footnoteRef/>
      </w:r>
      <w:r>
        <w:t xml:space="preserve"> ESCWA, </w:t>
      </w:r>
      <w:r w:rsidRPr="0059515A">
        <w:t>Arab Sustainable development Report 2020</w:t>
      </w:r>
    </w:p>
  </w:footnote>
  <w:footnote w:id="27">
    <w:p w14:paraId="3332A153" w14:textId="77777777" w:rsidR="00861CC1" w:rsidRPr="00080926" w:rsidRDefault="00861CC1" w:rsidP="00861CC1">
      <w:pPr>
        <w:pStyle w:val="FootnoteText"/>
        <w:rPr>
          <w:lang w:val="en-GB"/>
        </w:rPr>
      </w:pPr>
      <w:r>
        <w:rPr>
          <w:rStyle w:val="FootnoteReference"/>
        </w:rPr>
        <w:footnoteRef/>
      </w:r>
      <w:r>
        <w:t xml:space="preserve"> </w:t>
      </w:r>
      <w:r w:rsidRPr="00EF1F01">
        <w:rPr>
          <w:sz w:val="18"/>
          <w:szCs w:val="18"/>
          <w:lang w:val="en-GB"/>
        </w:rPr>
        <w:t>In accordance with Article 8, sub-paragraph 4- Technical Secretariat, PAFTA Resolution (1997).</w:t>
      </w:r>
    </w:p>
  </w:footnote>
  <w:footnote w:id="28">
    <w:p w14:paraId="03E0837C" w14:textId="1379BDA5" w:rsidR="0003093F" w:rsidRPr="00997714" w:rsidRDefault="0003093F">
      <w:pPr>
        <w:pStyle w:val="FootnoteText"/>
        <w:rPr>
          <w:rFonts w:ascii="Corbel" w:hAnsi="Corbel"/>
          <w:sz w:val="18"/>
          <w:szCs w:val="18"/>
        </w:rPr>
      </w:pPr>
      <w:r>
        <w:rPr>
          <w:rStyle w:val="FootnoteReference"/>
        </w:rPr>
        <w:footnoteRef/>
      </w:r>
      <w:r>
        <w:t xml:space="preserve"> </w:t>
      </w:r>
      <w:r w:rsidRPr="001B0E2F">
        <w:rPr>
          <w:rFonts w:ascii="Corbel" w:hAnsi="Corbel"/>
          <w:sz w:val="18"/>
          <w:szCs w:val="18"/>
        </w:rPr>
        <w:t xml:space="preserve">Output </w:t>
      </w:r>
      <w:r>
        <w:rPr>
          <w:rFonts w:ascii="Corbel" w:hAnsi="Corbel"/>
          <w:sz w:val="18"/>
          <w:szCs w:val="18"/>
        </w:rPr>
        <w:t>i</w:t>
      </w:r>
      <w:r w:rsidRPr="001B0E2F">
        <w:rPr>
          <w:rFonts w:ascii="Corbel" w:hAnsi="Corbel"/>
          <w:sz w:val="18"/>
          <w:szCs w:val="18"/>
        </w:rPr>
        <w:t xml:space="preserve">ndicators, baselines and </w:t>
      </w:r>
      <w:r>
        <w:rPr>
          <w:rFonts w:ascii="Corbel" w:hAnsi="Corbel"/>
          <w:sz w:val="18"/>
          <w:szCs w:val="18"/>
        </w:rPr>
        <w:t xml:space="preserve">annual </w:t>
      </w:r>
      <w:r w:rsidRPr="001B0E2F">
        <w:rPr>
          <w:rFonts w:ascii="Corbel" w:hAnsi="Corbel"/>
          <w:sz w:val="18"/>
          <w:szCs w:val="18"/>
        </w:rPr>
        <w:t xml:space="preserve">targets </w:t>
      </w:r>
      <w:r w:rsidRPr="00997714">
        <w:rPr>
          <w:rFonts w:ascii="Corbel" w:hAnsi="Corbel"/>
          <w:sz w:val="18"/>
          <w:szCs w:val="18"/>
        </w:rPr>
        <w:t xml:space="preserve">have been revised and simplified to enhance the RBM part of the project. </w:t>
      </w:r>
    </w:p>
  </w:footnote>
  <w:footnote w:id="29">
    <w:p w14:paraId="390C5143" w14:textId="766097DB" w:rsidR="005D476D" w:rsidRPr="008854BF" w:rsidRDefault="00794696" w:rsidP="005D476D">
      <w:pPr>
        <w:pStyle w:val="FootnoteText"/>
        <w:rPr>
          <w:rFonts w:ascii="Corbel" w:hAnsi="Corbel"/>
          <w:sz w:val="18"/>
          <w:szCs w:val="18"/>
        </w:rPr>
      </w:pPr>
      <w:r>
        <w:rPr>
          <w:rStyle w:val="FootnoteReference"/>
        </w:rPr>
        <w:footnoteRef/>
      </w:r>
      <w:r>
        <w:t xml:space="preserve"> </w:t>
      </w:r>
      <w:r w:rsidR="005D476D" w:rsidRPr="008854BF">
        <w:rPr>
          <w:rFonts w:ascii="Corbel" w:hAnsi="Corbel"/>
          <w:sz w:val="18"/>
          <w:szCs w:val="18"/>
        </w:rPr>
        <w:t>The amount of the initial contract was 943,151 USD</w:t>
      </w:r>
      <w:r w:rsidR="00C21938" w:rsidRPr="008854BF">
        <w:rPr>
          <w:rFonts w:ascii="Corbel" w:hAnsi="Corbel"/>
          <w:sz w:val="18"/>
          <w:szCs w:val="18"/>
        </w:rPr>
        <w:t xml:space="preserve">. After the settlement, the company receive </w:t>
      </w:r>
      <w:r w:rsidR="005D476D" w:rsidRPr="008854BF">
        <w:rPr>
          <w:rFonts w:ascii="Corbel" w:hAnsi="Corbel"/>
          <w:sz w:val="18"/>
          <w:szCs w:val="18"/>
        </w:rPr>
        <w:t>556,291.59</w:t>
      </w:r>
      <w:r w:rsidR="00C21938" w:rsidRPr="008854BF">
        <w:rPr>
          <w:rFonts w:ascii="Corbel" w:hAnsi="Corbel"/>
          <w:sz w:val="18"/>
          <w:szCs w:val="18"/>
        </w:rPr>
        <w:t xml:space="preserve"> USD, which covered the finalization </w:t>
      </w:r>
      <w:r w:rsidR="008145ED" w:rsidRPr="008854BF">
        <w:rPr>
          <w:rFonts w:ascii="Corbel" w:hAnsi="Corbel"/>
          <w:sz w:val="18"/>
          <w:szCs w:val="18"/>
        </w:rPr>
        <w:t xml:space="preserve">of the technical specification and part of the development work, despite </w:t>
      </w:r>
      <w:r w:rsidR="001909BA" w:rsidRPr="008854BF">
        <w:rPr>
          <w:rFonts w:ascii="Corbel" w:hAnsi="Corbel"/>
          <w:sz w:val="18"/>
          <w:szCs w:val="18"/>
        </w:rPr>
        <w:t>development</w:t>
      </w:r>
      <w:r w:rsidR="008145ED" w:rsidRPr="008854BF">
        <w:rPr>
          <w:rFonts w:ascii="Corbel" w:hAnsi="Corbel"/>
          <w:sz w:val="18"/>
          <w:szCs w:val="18"/>
        </w:rPr>
        <w:t xml:space="preserve"> count </w:t>
      </w:r>
      <w:r w:rsidR="001909BA" w:rsidRPr="008854BF">
        <w:rPr>
          <w:rFonts w:ascii="Corbel" w:hAnsi="Corbel"/>
          <w:sz w:val="18"/>
          <w:szCs w:val="18"/>
        </w:rPr>
        <w:t>is not</w:t>
      </w:r>
      <w:r w:rsidR="008145ED" w:rsidRPr="008854BF">
        <w:rPr>
          <w:rFonts w:ascii="Corbel" w:hAnsi="Corbel"/>
          <w:sz w:val="18"/>
          <w:szCs w:val="18"/>
        </w:rPr>
        <w:t xml:space="preserve"> completed. </w:t>
      </w:r>
      <w:r w:rsidR="005D52EC" w:rsidRPr="008854BF">
        <w:rPr>
          <w:rFonts w:ascii="Corbel" w:hAnsi="Corbel"/>
          <w:sz w:val="18"/>
          <w:szCs w:val="18"/>
        </w:rPr>
        <w:t xml:space="preserve">The local company provide an open-source </w:t>
      </w:r>
      <w:r w:rsidR="002A56E2" w:rsidRPr="008854BF">
        <w:rPr>
          <w:rFonts w:ascii="Corbel" w:hAnsi="Corbel"/>
          <w:sz w:val="18"/>
          <w:szCs w:val="18"/>
        </w:rPr>
        <w:t xml:space="preserve">solution for 253,500 USD, which also left a residual budget invested in </w:t>
      </w:r>
      <w:r w:rsidR="00096F41" w:rsidRPr="008854BF">
        <w:rPr>
          <w:rFonts w:ascii="Corbel" w:hAnsi="Corbel"/>
          <w:sz w:val="18"/>
          <w:szCs w:val="18"/>
        </w:rPr>
        <w:t xml:space="preserve">increasing the server capacity of the Jordanian Customs to improve the performance of the </w:t>
      </w:r>
      <w:r w:rsidR="001909BA" w:rsidRPr="008854BF">
        <w:rPr>
          <w:rFonts w:ascii="Corbel" w:hAnsi="Corbel"/>
          <w:sz w:val="18"/>
          <w:szCs w:val="18"/>
        </w:rPr>
        <w:t>Licensing</w:t>
      </w:r>
      <w:r w:rsidR="00096F41" w:rsidRPr="008854BF">
        <w:rPr>
          <w:rFonts w:ascii="Corbel" w:hAnsi="Corbel"/>
          <w:sz w:val="18"/>
          <w:szCs w:val="18"/>
        </w:rPr>
        <w:t xml:space="preserve"> Hub.</w:t>
      </w:r>
    </w:p>
    <w:p w14:paraId="52631FEE" w14:textId="2896469E" w:rsidR="00794696" w:rsidRPr="005D476D" w:rsidRDefault="00794696">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4AB"/>
    <w:multiLevelType w:val="hybridMultilevel"/>
    <w:tmpl w:val="EAA08AF0"/>
    <w:lvl w:ilvl="0" w:tplc="E872F00E">
      <w:start w:val="7"/>
      <w:numFmt w:val="upperRoman"/>
      <w:lvlText w:val="%1."/>
      <w:lvlJc w:val="left"/>
      <w:pPr>
        <w:ind w:left="1080" w:hanging="720"/>
      </w:pPr>
      <w:rPr>
        <w:rFonts w:hint="default"/>
        <w:b/>
        <w:color w:val="1F497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14B9"/>
    <w:multiLevelType w:val="hybridMultilevel"/>
    <w:tmpl w:val="EAFC7FD4"/>
    <w:lvl w:ilvl="0" w:tplc="F4EA6B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B6C51"/>
    <w:multiLevelType w:val="hybridMultilevel"/>
    <w:tmpl w:val="994A51A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06E3D"/>
    <w:multiLevelType w:val="multilevel"/>
    <w:tmpl w:val="B480295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931E03"/>
    <w:multiLevelType w:val="multilevel"/>
    <w:tmpl w:val="04163CC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675FC7"/>
    <w:multiLevelType w:val="hybridMultilevel"/>
    <w:tmpl w:val="BAB2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A0D4C"/>
    <w:multiLevelType w:val="hybridMultilevel"/>
    <w:tmpl w:val="7B6E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92C8D"/>
    <w:multiLevelType w:val="hybridMultilevel"/>
    <w:tmpl w:val="987AF946"/>
    <w:lvl w:ilvl="0" w:tplc="3B20B71A">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804666C"/>
    <w:multiLevelType w:val="hybridMultilevel"/>
    <w:tmpl w:val="FA9C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66029"/>
    <w:multiLevelType w:val="hybridMultilevel"/>
    <w:tmpl w:val="BEE281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E4C1F3A"/>
    <w:multiLevelType w:val="hybridMultilevel"/>
    <w:tmpl w:val="5B6C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95B62"/>
    <w:multiLevelType w:val="hybridMultilevel"/>
    <w:tmpl w:val="0930C28A"/>
    <w:lvl w:ilvl="0" w:tplc="3B20B71A">
      <w:start w:val="1"/>
      <w:numFmt w:val="bullet"/>
      <w:lvlText w:val=""/>
      <w:lvlJc w:val="left"/>
      <w:pPr>
        <w:ind w:left="761" w:hanging="360"/>
      </w:pPr>
      <w:rPr>
        <w:rFonts w:ascii="Symbol" w:hAnsi="Symbol" w:hint="default"/>
      </w:rPr>
    </w:lvl>
    <w:lvl w:ilvl="1" w:tplc="08090003">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2" w15:restartNumberingAfterBreak="0">
    <w:nsid w:val="42DC4413"/>
    <w:multiLevelType w:val="hybridMultilevel"/>
    <w:tmpl w:val="B9BE2E50"/>
    <w:lvl w:ilvl="0" w:tplc="3B20B71A">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3" w15:restartNumberingAfterBreak="0">
    <w:nsid w:val="44105803"/>
    <w:multiLevelType w:val="hybridMultilevel"/>
    <w:tmpl w:val="67DE493A"/>
    <w:lvl w:ilvl="0" w:tplc="0809001B">
      <w:start w:val="1"/>
      <w:numFmt w:val="lowerRoman"/>
      <w:lvlText w:val="%1."/>
      <w:lvlJc w:val="right"/>
      <w:pPr>
        <w:ind w:left="761" w:hanging="360"/>
      </w:p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14" w15:restartNumberingAfterBreak="0">
    <w:nsid w:val="47221B54"/>
    <w:multiLevelType w:val="hybridMultilevel"/>
    <w:tmpl w:val="27A0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D6C51"/>
    <w:multiLevelType w:val="hybridMultilevel"/>
    <w:tmpl w:val="3D50B038"/>
    <w:lvl w:ilvl="0" w:tplc="8390ABC8">
      <w:start w:val="1"/>
      <w:numFmt w:val="upperRoman"/>
      <w:lvlText w:val="%1."/>
      <w:lvlJc w:val="left"/>
      <w:pPr>
        <w:ind w:left="1080" w:hanging="720"/>
      </w:pPr>
      <w:rPr>
        <w:rFonts w:hint="default"/>
        <w:b/>
        <w:color w:val="1F497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3B52CF"/>
    <w:multiLevelType w:val="hybridMultilevel"/>
    <w:tmpl w:val="D174F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E46773"/>
    <w:multiLevelType w:val="hybridMultilevel"/>
    <w:tmpl w:val="5C64EA4C"/>
    <w:lvl w:ilvl="0" w:tplc="746E0E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D3837"/>
    <w:multiLevelType w:val="hybridMultilevel"/>
    <w:tmpl w:val="1854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27D82"/>
    <w:multiLevelType w:val="hybridMultilevel"/>
    <w:tmpl w:val="FFFFFFFF"/>
    <w:lvl w:ilvl="0" w:tplc="7C0419E8">
      <w:start w:val="1"/>
      <w:numFmt w:val="bullet"/>
      <w:lvlText w:val="-"/>
      <w:lvlJc w:val="left"/>
      <w:pPr>
        <w:ind w:left="720" w:hanging="360"/>
      </w:pPr>
      <w:rPr>
        <w:rFonts w:ascii="Calibri" w:hAnsi="Calibri" w:hint="default"/>
      </w:rPr>
    </w:lvl>
    <w:lvl w:ilvl="1" w:tplc="3BA6A7CE">
      <w:start w:val="1"/>
      <w:numFmt w:val="bullet"/>
      <w:lvlText w:val="o"/>
      <w:lvlJc w:val="left"/>
      <w:pPr>
        <w:ind w:left="1440" w:hanging="360"/>
      </w:pPr>
      <w:rPr>
        <w:rFonts w:ascii="Courier New" w:hAnsi="Courier New" w:hint="default"/>
      </w:rPr>
    </w:lvl>
    <w:lvl w:ilvl="2" w:tplc="0AB4DAF8">
      <w:start w:val="1"/>
      <w:numFmt w:val="bullet"/>
      <w:lvlText w:val=""/>
      <w:lvlJc w:val="left"/>
      <w:pPr>
        <w:ind w:left="2160" w:hanging="360"/>
      </w:pPr>
      <w:rPr>
        <w:rFonts w:ascii="Wingdings" w:hAnsi="Wingdings" w:hint="default"/>
      </w:rPr>
    </w:lvl>
    <w:lvl w:ilvl="3" w:tplc="DEDC5ABA">
      <w:start w:val="1"/>
      <w:numFmt w:val="bullet"/>
      <w:lvlText w:val=""/>
      <w:lvlJc w:val="left"/>
      <w:pPr>
        <w:ind w:left="2880" w:hanging="360"/>
      </w:pPr>
      <w:rPr>
        <w:rFonts w:ascii="Symbol" w:hAnsi="Symbol" w:hint="default"/>
      </w:rPr>
    </w:lvl>
    <w:lvl w:ilvl="4" w:tplc="EF448F0C">
      <w:start w:val="1"/>
      <w:numFmt w:val="bullet"/>
      <w:lvlText w:val="o"/>
      <w:lvlJc w:val="left"/>
      <w:pPr>
        <w:ind w:left="3600" w:hanging="360"/>
      </w:pPr>
      <w:rPr>
        <w:rFonts w:ascii="Courier New" w:hAnsi="Courier New" w:hint="default"/>
      </w:rPr>
    </w:lvl>
    <w:lvl w:ilvl="5" w:tplc="36BE94DA">
      <w:start w:val="1"/>
      <w:numFmt w:val="bullet"/>
      <w:lvlText w:val=""/>
      <w:lvlJc w:val="left"/>
      <w:pPr>
        <w:ind w:left="4320" w:hanging="360"/>
      </w:pPr>
      <w:rPr>
        <w:rFonts w:ascii="Wingdings" w:hAnsi="Wingdings" w:hint="default"/>
      </w:rPr>
    </w:lvl>
    <w:lvl w:ilvl="6" w:tplc="D1FADCA4">
      <w:start w:val="1"/>
      <w:numFmt w:val="bullet"/>
      <w:lvlText w:val=""/>
      <w:lvlJc w:val="left"/>
      <w:pPr>
        <w:ind w:left="5040" w:hanging="360"/>
      </w:pPr>
      <w:rPr>
        <w:rFonts w:ascii="Symbol" w:hAnsi="Symbol" w:hint="default"/>
      </w:rPr>
    </w:lvl>
    <w:lvl w:ilvl="7" w:tplc="FA5073EE">
      <w:start w:val="1"/>
      <w:numFmt w:val="bullet"/>
      <w:lvlText w:val="o"/>
      <w:lvlJc w:val="left"/>
      <w:pPr>
        <w:ind w:left="5760" w:hanging="360"/>
      </w:pPr>
      <w:rPr>
        <w:rFonts w:ascii="Courier New" w:hAnsi="Courier New" w:hint="default"/>
      </w:rPr>
    </w:lvl>
    <w:lvl w:ilvl="8" w:tplc="E14A626E">
      <w:start w:val="1"/>
      <w:numFmt w:val="bullet"/>
      <w:lvlText w:val=""/>
      <w:lvlJc w:val="left"/>
      <w:pPr>
        <w:ind w:left="6480" w:hanging="360"/>
      </w:pPr>
      <w:rPr>
        <w:rFonts w:ascii="Wingdings" w:hAnsi="Wingdings" w:hint="default"/>
      </w:rPr>
    </w:lvl>
  </w:abstractNum>
  <w:abstractNum w:abstractNumId="20" w15:restartNumberingAfterBreak="0">
    <w:nsid w:val="631E5320"/>
    <w:multiLevelType w:val="hybridMultilevel"/>
    <w:tmpl w:val="4F46820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15:restartNumberingAfterBreak="0">
    <w:nsid w:val="6D53604F"/>
    <w:multiLevelType w:val="multilevel"/>
    <w:tmpl w:val="8746EC56"/>
    <w:lvl w:ilvl="0">
      <w:start w:val="1"/>
      <w:numFmt w:val="decimal"/>
      <w:lvlText w:val="%1."/>
      <w:lvlJc w:val="left"/>
      <w:pPr>
        <w:ind w:left="720" w:hanging="360"/>
      </w:p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2" w15:restartNumberingAfterBreak="0">
    <w:nsid w:val="702D30A3"/>
    <w:multiLevelType w:val="hybridMultilevel"/>
    <w:tmpl w:val="C7E6563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3" w15:restartNumberingAfterBreak="0">
    <w:nsid w:val="722A7E83"/>
    <w:multiLevelType w:val="hybridMultilevel"/>
    <w:tmpl w:val="502E468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4" w15:restartNumberingAfterBreak="0">
    <w:nsid w:val="75D301D2"/>
    <w:multiLevelType w:val="hybridMultilevel"/>
    <w:tmpl w:val="EF0EADBA"/>
    <w:lvl w:ilvl="0" w:tplc="3B20B7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86144"/>
    <w:multiLevelType w:val="multilevel"/>
    <w:tmpl w:val="742C2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85646BF"/>
    <w:multiLevelType w:val="hybridMultilevel"/>
    <w:tmpl w:val="8104E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190F48"/>
    <w:multiLevelType w:val="hybridMultilevel"/>
    <w:tmpl w:val="0260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C313BB"/>
    <w:multiLevelType w:val="hybridMultilevel"/>
    <w:tmpl w:val="34E6BB2C"/>
    <w:lvl w:ilvl="0" w:tplc="08090013">
      <w:start w:val="1"/>
      <w:numFmt w:val="upperRoman"/>
      <w:lvlText w:val="%1."/>
      <w:lvlJc w:val="righ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9" w15:restartNumberingAfterBreak="0">
    <w:nsid w:val="7DE805AB"/>
    <w:multiLevelType w:val="hybridMultilevel"/>
    <w:tmpl w:val="2CBA6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7"/>
  </w:num>
  <w:num w:numId="4">
    <w:abstractNumId w:val="0"/>
  </w:num>
  <w:num w:numId="5">
    <w:abstractNumId w:val="28"/>
  </w:num>
  <w:num w:numId="6">
    <w:abstractNumId w:val="6"/>
  </w:num>
  <w:num w:numId="7">
    <w:abstractNumId w:val="25"/>
  </w:num>
  <w:num w:numId="8">
    <w:abstractNumId w:val="14"/>
  </w:num>
  <w:num w:numId="9">
    <w:abstractNumId w:val="5"/>
  </w:num>
  <w:num w:numId="10">
    <w:abstractNumId w:val="21"/>
  </w:num>
  <w:num w:numId="11">
    <w:abstractNumId w:val="18"/>
  </w:num>
  <w:num w:numId="12">
    <w:abstractNumId w:val="1"/>
  </w:num>
  <w:num w:numId="13">
    <w:abstractNumId w:val="3"/>
  </w:num>
  <w:num w:numId="14">
    <w:abstractNumId w:val="10"/>
  </w:num>
  <w:num w:numId="15">
    <w:abstractNumId w:val="29"/>
  </w:num>
  <w:num w:numId="16">
    <w:abstractNumId w:val="26"/>
  </w:num>
  <w:num w:numId="17">
    <w:abstractNumId w:val="20"/>
  </w:num>
  <w:num w:numId="18">
    <w:abstractNumId w:val="13"/>
  </w:num>
  <w:num w:numId="19">
    <w:abstractNumId w:val="11"/>
  </w:num>
  <w:num w:numId="20">
    <w:abstractNumId w:val="12"/>
  </w:num>
  <w:num w:numId="21">
    <w:abstractNumId w:val="2"/>
  </w:num>
  <w:num w:numId="22">
    <w:abstractNumId w:val="4"/>
  </w:num>
  <w:num w:numId="23">
    <w:abstractNumId w:val="24"/>
  </w:num>
  <w:num w:numId="24">
    <w:abstractNumId w:val="9"/>
  </w:num>
  <w:num w:numId="25">
    <w:abstractNumId w:val="7"/>
  </w:num>
  <w:num w:numId="26">
    <w:abstractNumId w:val="23"/>
  </w:num>
  <w:num w:numId="27">
    <w:abstractNumId w:val="22"/>
  </w:num>
  <w:num w:numId="28">
    <w:abstractNumId w:val="27"/>
  </w:num>
  <w:num w:numId="29">
    <w:abstractNumId w:val="8"/>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064"/>
    <w:rsid w:val="00000832"/>
    <w:rsid w:val="00000868"/>
    <w:rsid w:val="00000ACE"/>
    <w:rsid w:val="00000B69"/>
    <w:rsid w:val="00000EE1"/>
    <w:rsid w:val="00000FD0"/>
    <w:rsid w:val="0000206D"/>
    <w:rsid w:val="000022E8"/>
    <w:rsid w:val="00002389"/>
    <w:rsid w:val="000028E7"/>
    <w:rsid w:val="000028FE"/>
    <w:rsid w:val="0000296B"/>
    <w:rsid w:val="00002C25"/>
    <w:rsid w:val="00002E22"/>
    <w:rsid w:val="00003353"/>
    <w:rsid w:val="00003D52"/>
    <w:rsid w:val="00004418"/>
    <w:rsid w:val="000047B1"/>
    <w:rsid w:val="00004930"/>
    <w:rsid w:val="00004A59"/>
    <w:rsid w:val="00004ADF"/>
    <w:rsid w:val="00004B19"/>
    <w:rsid w:val="00004D49"/>
    <w:rsid w:val="00004D74"/>
    <w:rsid w:val="0000570A"/>
    <w:rsid w:val="00005D6D"/>
    <w:rsid w:val="00005E77"/>
    <w:rsid w:val="00005E8B"/>
    <w:rsid w:val="000069CB"/>
    <w:rsid w:val="00006A31"/>
    <w:rsid w:val="00006E4F"/>
    <w:rsid w:val="00007438"/>
    <w:rsid w:val="000076A6"/>
    <w:rsid w:val="00007891"/>
    <w:rsid w:val="0000795D"/>
    <w:rsid w:val="00007A1F"/>
    <w:rsid w:val="00010C20"/>
    <w:rsid w:val="000113F0"/>
    <w:rsid w:val="000117CE"/>
    <w:rsid w:val="000118C4"/>
    <w:rsid w:val="000118D1"/>
    <w:rsid w:val="00011DB9"/>
    <w:rsid w:val="00011F2B"/>
    <w:rsid w:val="000122A1"/>
    <w:rsid w:val="000122E6"/>
    <w:rsid w:val="00012878"/>
    <w:rsid w:val="00012CB6"/>
    <w:rsid w:val="00012E0B"/>
    <w:rsid w:val="00013063"/>
    <w:rsid w:val="00013075"/>
    <w:rsid w:val="00013733"/>
    <w:rsid w:val="000137F2"/>
    <w:rsid w:val="0001414A"/>
    <w:rsid w:val="00014999"/>
    <w:rsid w:val="00014CF9"/>
    <w:rsid w:val="00014D34"/>
    <w:rsid w:val="00014F37"/>
    <w:rsid w:val="0001508D"/>
    <w:rsid w:val="00015CF7"/>
    <w:rsid w:val="00015DC0"/>
    <w:rsid w:val="00016044"/>
    <w:rsid w:val="0001605B"/>
    <w:rsid w:val="00016682"/>
    <w:rsid w:val="000168EC"/>
    <w:rsid w:val="000171DF"/>
    <w:rsid w:val="00017755"/>
    <w:rsid w:val="0002075C"/>
    <w:rsid w:val="000216F6"/>
    <w:rsid w:val="00021AD5"/>
    <w:rsid w:val="00021CEB"/>
    <w:rsid w:val="00021E57"/>
    <w:rsid w:val="00021F44"/>
    <w:rsid w:val="000227E2"/>
    <w:rsid w:val="000228D1"/>
    <w:rsid w:val="00022DD4"/>
    <w:rsid w:val="00022FA3"/>
    <w:rsid w:val="000230AC"/>
    <w:rsid w:val="000232BD"/>
    <w:rsid w:val="00023913"/>
    <w:rsid w:val="00023CE6"/>
    <w:rsid w:val="00023FC7"/>
    <w:rsid w:val="0002435B"/>
    <w:rsid w:val="00024728"/>
    <w:rsid w:val="000247CE"/>
    <w:rsid w:val="00024D45"/>
    <w:rsid w:val="00025AA2"/>
    <w:rsid w:val="00025C09"/>
    <w:rsid w:val="00025D07"/>
    <w:rsid w:val="00026015"/>
    <w:rsid w:val="0002636F"/>
    <w:rsid w:val="000263CF"/>
    <w:rsid w:val="000263E1"/>
    <w:rsid w:val="00026DE3"/>
    <w:rsid w:val="00026E98"/>
    <w:rsid w:val="00027964"/>
    <w:rsid w:val="00027E27"/>
    <w:rsid w:val="00027FC4"/>
    <w:rsid w:val="00030399"/>
    <w:rsid w:val="0003093F"/>
    <w:rsid w:val="00030A0F"/>
    <w:rsid w:val="00030BA4"/>
    <w:rsid w:val="000314B9"/>
    <w:rsid w:val="0003179C"/>
    <w:rsid w:val="00031948"/>
    <w:rsid w:val="00031B83"/>
    <w:rsid w:val="00031D7B"/>
    <w:rsid w:val="0003222E"/>
    <w:rsid w:val="000323E4"/>
    <w:rsid w:val="000324A3"/>
    <w:rsid w:val="000326A7"/>
    <w:rsid w:val="00032780"/>
    <w:rsid w:val="0003306E"/>
    <w:rsid w:val="0003327D"/>
    <w:rsid w:val="00033926"/>
    <w:rsid w:val="00033956"/>
    <w:rsid w:val="00033A41"/>
    <w:rsid w:val="00033B4A"/>
    <w:rsid w:val="00034025"/>
    <w:rsid w:val="00034140"/>
    <w:rsid w:val="000342E8"/>
    <w:rsid w:val="00034CB4"/>
    <w:rsid w:val="000356CB"/>
    <w:rsid w:val="000356D4"/>
    <w:rsid w:val="00035A1C"/>
    <w:rsid w:val="00035F91"/>
    <w:rsid w:val="000375CB"/>
    <w:rsid w:val="00040004"/>
    <w:rsid w:val="00040B16"/>
    <w:rsid w:val="00040C2A"/>
    <w:rsid w:val="00041327"/>
    <w:rsid w:val="000415A9"/>
    <w:rsid w:val="000417B0"/>
    <w:rsid w:val="00041C86"/>
    <w:rsid w:val="00041F20"/>
    <w:rsid w:val="00041F60"/>
    <w:rsid w:val="000421B9"/>
    <w:rsid w:val="000423FB"/>
    <w:rsid w:val="00042BB8"/>
    <w:rsid w:val="00042BBE"/>
    <w:rsid w:val="00043619"/>
    <w:rsid w:val="0004368B"/>
    <w:rsid w:val="00043942"/>
    <w:rsid w:val="00043990"/>
    <w:rsid w:val="00043A06"/>
    <w:rsid w:val="00043AC2"/>
    <w:rsid w:val="0004407E"/>
    <w:rsid w:val="000445A5"/>
    <w:rsid w:val="0004544F"/>
    <w:rsid w:val="00045563"/>
    <w:rsid w:val="00045567"/>
    <w:rsid w:val="00045C62"/>
    <w:rsid w:val="00045D4B"/>
    <w:rsid w:val="0004603B"/>
    <w:rsid w:val="00046AC5"/>
    <w:rsid w:val="00046B92"/>
    <w:rsid w:val="0004706B"/>
    <w:rsid w:val="00047EAA"/>
    <w:rsid w:val="00050246"/>
    <w:rsid w:val="000506A5"/>
    <w:rsid w:val="00050791"/>
    <w:rsid w:val="000509BE"/>
    <w:rsid w:val="00050BA4"/>
    <w:rsid w:val="00051114"/>
    <w:rsid w:val="000516B2"/>
    <w:rsid w:val="00051CE0"/>
    <w:rsid w:val="00051D13"/>
    <w:rsid w:val="0005233D"/>
    <w:rsid w:val="00052BA0"/>
    <w:rsid w:val="00053405"/>
    <w:rsid w:val="0005343C"/>
    <w:rsid w:val="00053A12"/>
    <w:rsid w:val="00054052"/>
    <w:rsid w:val="00054108"/>
    <w:rsid w:val="000547AA"/>
    <w:rsid w:val="00055244"/>
    <w:rsid w:val="00055259"/>
    <w:rsid w:val="000552F6"/>
    <w:rsid w:val="00055344"/>
    <w:rsid w:val="00055A7E"/>
    <w:rsid w:val="00055AA7"/>
    <w:rsid w:val="00055BD3"/>
    <w:rsid w:val="00055CE6"/>
    <w:rsid w:val="00055F9F"/>
    <w:rsid w:val="00056455"/>
    <w:rsid w:val="000564F3"/>
    <w:rsid w:val="00056861"/>
    <w:rsid w:val="00056AD7"/>
    <w:rsid w:val="00056D4F"/>
    <w:rsid w:val="00056D6F"/>
    <w:rsid w:val="00056FDC"/>
    <w:rsid w:val="00057136"/>
    <w:rsid w:val="00057A54"/>
    <w:rsid w:val="000602EB"/>
    <w:rsid w:val="00060D3D"/>
    <w:rsid w:val="000613A4"/>
    <w:rsid w:val="00061407"/>
    <w:rsid w:val="00061421"/>
    <w:rsid w:val="00061C11"/>
    <w:rsid w:val="00061F4E"/>
    <w:rsid w:val="00061FDA"/>
    <w:rsid w:val="00062358"/>
    <w:rsid w:val="000625E2"/>
    <w:rsid w:val="000626EC"/>
    <w:rsid w:val="00062EF1"/>
    <w:rsid w:val="000630CC"/>
    <w:rsid w:val="00063776"/>
    <w:rsid w:val="0006383B"/>
    <w:rsid w:val="00064591"/>
    <w:rsid w:val="00064A81"/>
    <w:rsid w:val="00064F5D"/>
    <w:rsid w:val="00064FF9"/>
    <w:rsid w:val="00065A5D"/>
    <w:rsid w:val="0006653B"/>
    <w:rsid w:val="000665B2"/>
    <w:rsid w:val="00066D60"/>
    <w:rsid w:val="0006734C"/>
    <w:rsid w:val="00067405"/>
    <w:rsid w:val="00067B2B"/>
    <w:rsid w:val="00067E04"/>
    <w:rsid w:val="00067FEF"/>
    <w:rsid w:val="00070101"/>
    <w:rsid w:val="00070214"/>
    <w:rsid w:val="0007024E"/>
    <w:rsid w:val="00070329"/>
    <w:rsid w:val="000704B7"/>
    <w:rsid w:val="00070745"/>
    <w:rsid w:val="00070746"/>
    <w:rsid w:val="00070ABA"/>
    <w:rsid w:val="00070AF7"/>
    <w:rsid w:val="00070F07"/>
    <w:rsid w:val="00070FCB"/>
    <w:rsid w:val="000711FF"/>
    <w:rsid w:val="00071405"/>
    <w:rsid w:val="00071B0E"/>
    <w:rsid w:val="00071D6E"/>
    <w:rsid w:val="00071F1D"/>
    <w:rsid w:val="000725B0"/>
    <w:rsid w:val="00072753"/>
    <w:rsid w:val="00072A10"/>
    <w:rsid w:val="00072BB6"/>
    <w:rsid w:val="00072E61"/>
    <w:rsid w:val="000737FE"/>
    <w:rsid w:val="00074300"/>
    <w:rsid w:val="000747A8"/>
    <w:rsid w:val="000752CA"/>
    <w:rsid w:val="00075FD5"/>
    <w:rsid w:val="000769E0"/>
    <w:rsid w:val="00076C00"/>
    <w:rsid w:val="000772E4"/>
    <w:rsid w:val="00077337"/>
    <w:rsid w:val="00077720"/>
    <w:rsid w:val="0007788C"/>
    <w:rsid w:val="00077B85"/>
    <w:rsid w:val="00077D7B"/>
    <w:rsid w:val="00080926"/>
    <w:rsid w:val="0008097E"/>
    <w:rsid w:val="00081089"/>
    <w:rsid w:val="00081700"/>
    <w:rsid w:val="000817AE"/>
    <w:rsid w:val="000819FF"/>
    <w:rsid w:val="00081FAC"/>
    <w:rsid w:val="00082D05"/>
    <w:rsid w:val="00082D0C"/>
    <w:rsid w:val="00082D35"/>
    <w:rsid w:val="000839F0"/>
    <w:rsid w:val="00083E4D"/>
    <w:rsid w:val="0008401D"/>
    <w:rsid w:val="000842FE"/>
    <w:rsid w:val="00084428"/>
    <w:rsid w:val="000844A9"/>
    <w:rsid w:val="000844D4"/>
    <w:rsid w:val="00084836"/>
    <w:rsid w:val="00084B53"/>
    <w:rsid w:val="00084BBC"/>
    <w:rsid w:val="00084CAD"/>
    <w:rsid w:val="000854B9"/>
    <w:rsid w:val="000859DE"/>
    <w:rsid w:val="000861B1"/>
    <w:rsid w:val="0008686C"/>
    <w:rsid w:val="00087457"/>
    <w:rsid w:val="000875E5"/>
    <w:rsid w:val="00087DB6"/>
    <w:rsid w:val="00087DEC"/>
    <w:rsid w:val="000902F2"/>
    <w:rsid w:val="00090B5C"/>
    <w:rsid w:val="00090BBE"/>
    <w:rsid w:val="00090F08"/>
    <w:rsid w:val="00091150"/>
    <w:rsid w:val="000914C1"/>
    <w:rsid w:val="00091852"/>
    <w:rsid w:val="0009236D"/>
    <w:rsid w:val="000924A6"/>
    <w:rsid w:val="0009281A"/>
    <w:rsid w:val="00093201"/>
    <w:rsid w:val="00093952"/>
    <w:rsid w:val="000940B3"/>
    <w:rsid w:val="000942FA"/>
    <w:rsid w:val="0009490F"/>
    <w:rsid w:val="0009515F"/>
    <w:rsid w:val="00095532"/>
    <w:rsid w:val="0009564D"/>
    <w:rsid w:val="0009568F"/>
    <w:rsid w:val="0009575D"/>
    <w:rsid w:val="0009590C"/>
    <w:rsid w:val="00095C49"/>
    <w:rsid w:val="00095EA6"/>
    <w:rsid w:val="00095FFD"/>
    <w:rsid w:val="00096428"/>
    <w:rsid w:val="0009643B"/>
    <w:rsid w:val="00096457"/>
    <w:rsid w:val="0009679B"/>
    <w:rsid w:val="000967B4"/>
    <w:rsid w:val="0009687A"/>
    <w:rsid w:val="00096F41"/>
    <w:rsid w:val="000979CF"/>
    <w:rsid w:val="00097DC7"/>
    <w:rsid w:val="000A024F"/>
    <w:rsid w:val="000A0937"/>
    <w:rsid w:val="000A0AB3"/>
    <w:rsid w:val="000A17E1"/>
    <w:rsid w:val="000A1A09"/>
    <w:rsid w:val="000A1B8B"/>
    <w:rsid w:val="000A244F"/>
    <w:rsid w:val="000A2AD1"/>
    <w:rsid w:val="000A3006"/>
    <w:rsid w:val="000A3257"/>
    <w:rsid w:val="000A334F"/>
    <w:rsid w:val="000A3493"/>
    <w:rsid w:val="000A3B12"/>
    <w:rsid w:val="000A3B8D"/>
    <w:rsid w:val="000A455D"/>
    <w:rsid w:val="000A523C"/>
    <w:rsid w:val="000A5420"/>
    <w:rsid w:val="000A5E4E"/>
    <w:rsid w:val="000A605F"/>
    <w:rsid w:val="000A6B43"/>
    <w:rsid w:val="000A6C2B"/>
    <w:rsid w:val="000A6EAD"/>
    <w:rsid w:val="000A70D2"/>
    <w:rsid w:val="000A71BE"/>
    <w:rsid w:val="000A72AB"/>
    <w:rsid w:val="000A736C"/>
    <w:rsid w:val="000A7545"/>
    <w:rsid w:val="000A7DEC"/>
    <w:rsid w:val="000B0116"/>
    <w:rsid w:val="000B0814"/>
    <w:rsid w:val="000B08A7"/>
    <w:rsid w:val="000B1447"/>
    <w:rsid w:val="000B14D8"/>
    <w:rsid w:val="000B1672"/>
    <w:rsid w:val="000B1A0B"/>
    <w:rsid w:val="000B1E14"/>
    <w:rsid w:val="000B229B"/>
    <w:rsid w:val="000B266E"/>
    <w:rsid w:val="000B2747"/>
    <w:rsid w:val="000B2FBC"/>
    <w:rsid w:val="000B380E"/>
    <w:rsid w:val="000B397E"/>
    <w:rsid w:val="000B3C1D"/>
    <w:rsid w:val="000B41DA"/>
    <w:rsid w:val="000B42DD"/>
    <w:rsid w:val="000B4458"/>
    <w:rsid w:val="000B481C"/>
    <w:rsid w:val="000B5677"/>
    <w:rsid w:val="000B5C71"/>
    <w:rsid w:val="000B6573"/>
    <w:rsid w:val="000B6A68"/>
    <w:rsid w:val="000B6C7A"/>
    <w:rsid w:val="000B6ED3"/>
    <w:rsid w:val="000B720F"/>
    <w:rsid w:val="000B72E9"/>
    <w:rsid w:val="000B76AC"/>
    <w:rsid w:val="000B77C1"/>
    <w:rsid w:val="000B7AEF"/>
    <w:rsid w:val="000C013B"/>
    <w:rsid w:val="000C0522"/>
    <w:rsid w:val="000C06E9"/>
    <w:rsid w:val="000C0C02"/>
    <w:rsid w:val="000C1407"/>
    <w:rsid w:val="000C14E2"/>
    <w:rsid w:val="000C1A04"/>
    <w:rsid w:val="000C1A5D"/>
    <w:rsid w:val="000C2264"/>
    <w:rsid w:val="000C2BF6"/>
    <w:rsid w:val="000C2EC7"/>
    <w:rsid w:val="000C3046"/>
    <w:rsid w:val="000C3354"/>
    <w:rsid w:val="000C3549"/>
    <w:rsid w:val="000C38E4"/>
    <w:rsid w:val="000C3CD0"/>
    <w:rsid w:val="000C462E"/>
    <w:rsid w:val="000C4BBB"/>
    <w:rsid w:val="000C4E66"/>
    <w:rsid w:val="000C4FB3"/>
    <w:rsid w:val="000C5756"/>
    <w:rsid w:val="000C5880"/>
    <w:rsid w:val="000C5A0E"/>
    <w:rsid w:val="000C5CAA"/>
    <w:rsid w:val="000C5E91"/>
    <w:rsid w:val="000C60EE"/>
    <w:rsid w:val="000C6C9F"/>
    <w:rsid w:val="000C6EF6"/>
    <w:rsid w:val="000C6FAD"/>
    <w:rsid w:val="000D0B4B"/>
    <w:rsid w:val="000D1296"/>
    <w:rsid w:val="000D136C"/>
    <w:rsid w:val="000D1589"/>
    <w:rsid w:val="000D159B"/>
    <w:rsid w:val="000D163B"/>
    <w:rsid w:val="000D1845"/>
    <w:rsid w:val="000D1D84"/>
    <w:rsid w:val="000D1EC7"/>
    <w:rsid w:val="000D200D"/>
    <w:rsid w:val="000D2D43"/>
    <w:rsid w:val="000D2FA7"/>
    <w:rsid w:val="000D32D0"/>
    <w:rsid w:val="000D4338"/>
    <w:rsid w:val="000D465B"/>
    <w:rsid w:val="000D4A44"/>
    <w:rsid w:val="000D4B7F"/>
    <w:rsid w:val="000D4B85"/>
    <w:rsid w:val="000D4E4D"/>
    <w:rsid w:val="000D53B9"/>
    <w:rsid w:val="000D5A47"/>
    <w:rsid w:val="000D5AA8"/>
    <w:rsid w:val="000D604D"/>
    <w:rsid w:val="000D6571"/>
    <w:rsid w:val="000D6C07"/>
    <w:rsid w:val="000D6EE1"/>
    <w:rsid w:val="000D6EE6"/>
    <w:rsid w:val="000D6EF3"/>
    <w:rsid w:val="000D79F7"/>
    <w:rsid w:val="000D7B18"/>
    <w:rsid w:val="000E03D4"/>
    <w:rsid w:val="000E147A"/>
    <w:rsid w:val="000E156C"/>
    <w:rsid w:val="000E17FE"/>
    <w:rsid w:val="000E1B22"/>
    <w:rsid w:val="000E1D99"/>
    <w:rsid w:val="000E1FA6"/>
    <w:rsid w:val="000E248A"/>
    <w:rsid w:val="000E2AAC"/>
    <w:rsid w:val="000E32CE"/>
    <w:rsid w:val="000E3569"/>
    <w:rsid w:val="000E3C28"/>
    <w:rsid w:val="000E3DAF"/>
    <w:rsid w:val="000E4127"/>
    <w:rsid w:val="000E455E"/>
    <w:rsid w:val="000E46CB"/>
    <w:rsid w:val="000E48CA"/>
    <w:rsid w:val="000E516C"/>
    <w:rsid w:val="000E5540"/>
    <w:rsid w:val="000E56FB"/>
    <w:rsid w:val="000E571C"/>
    <w:rsid w:val="000E59BF"/>
    <w:rsid w:val="000E5A75"/>
    <w:rsid w:val="000E5CC5"/>
    <w:rsid w:val="000E6D8E"/>
    <w:rsid w:val="000E6F5E"/>
    <w:rsid w:val="000E71E9"/>
    <w:rsid w:val="000E77E3"/>
    <w:rsid w:val="000E798D"/>
    <w:rsid w:val="000F026A"/>
    <w:rsid w:val="000F079F"/>
    <w:rsid w:val="000F0917"/>
    <w:rsid w:val="000F119E"/>
    <w:rsid w:val="000F1370"/>
    <w:rsid w:val="000F1E71"/>
    <w:rsid w:val="000F2841"/>
    <w:rsid w:val="000F2BA3"/>
    <w:rsid w:val="000F2EBD"/>
    <w:rsid w:val="000F2FD3"/>
    <w:rsid w:val="000F3339"/>
    <w:rsid w:val="000F394D"/>
    <w:rsid w:val="000F3AF4"/>
    <w:rsid w:val="000F3CBC"/>
    <w:rsid w:val="000F5183"/>
    <w:rsid w:val="000F57F4"/>
    <w:rsid w:val="000F5A6C"/>
    <w:rsid w:val="000F5D43"/>
    <w:rsid w:val="000F5E77"/>
    <w:rsid w:val="000F61B6"/>
    <w:rsid w:val="000F62AF"/>
    <w:rsid w:val="000F6683"/>
    <w:rsid w:val="000F7155"/>
    <w:rsid w:val="000F7182"/>
    <w:rsid w:val="000F72A8"/>
    <w:rsid w:val="000F7424"/>
    <w:rsid w:val="000F755F"/>
    <w:rsid w:val="000F758A"/>
    <w:rsid w:val="000F7738"/>
    <w:rsid w:val="000F786B"/>
    <w:rsid w:val="00100237"/>
    <w:rsid w:val="001009B8"/>
    <w:rsid w:val="00100F57"/>
    <w:rsid w:val="00101006"/>
    <w:rsid w:val="00101253"/>
    <w:rsid w:val="00101836"/>
    <w:rsid w:val="0010206A"/>
    <w:rsid w:val="0010250A"/>
    <w:rsid w:val="00102E0A"/>
    <w:rsid w:val="00102EB7"/>
    <w:rsid w:val="00103262"/>
    <w:rsid w:val="0010405D"/>
    <w:rsid w:val="00104725"/>
    <w:rsid w:val="00104A3D"/>
    <w:rsid w:val="00104E1B"/>
    <w:rsid w:val="00105739"/>
    <w:rsid w:val="00105A62"/>
    <w:rsid w:val="0010659B"/>
    <w:rsid w:val="0010668C"/>
    <w:rsid w:val="00106A0D"/>
    <w:rsid w:val="00107004"/>
    <w:rsid w:val="001071DE"/>
    <w:rsid w:val="00107406"/>
    <w:rsid w:val="001076B5"/>
    <w:rsid w:val="0011025A"/>
    <w:rsid w:val="0011033F"/>
    <w:rsid w:val="00110350"/>
    <w:rsid w:val="00110454"/>
    <w:rsid w:val="0011053D"/>
    <w:rsid w:val="001106BD"/>
    <w:rsid w:val="00110B92"/>
    <w:rsid w:val="00110C4E"/>
    <w:rsid w:val="00110E5B"/>
    <w:rsid w:val="0011133D"/>
    <w:rsid w:val="001115D3"/>
    <w:rsid w:val="00111C9F"/>
    <w:rsid w:val="00112082"/>
    <w:rsid w:val="00112AF9"/>
    <w:rsid w:val="00112BAB"/>
    <w:rsid w:val="001130AC"/>
    <w:rsid w:val="001134B3"/>
    <w:rsid w:val="00113EDC"/>
    <w:rsid w:val="001144D9"/>
    <w:rsid w:val="001144E0"/>
    <w:rsid w:val="00115AD8"/>
    <w:rsid w:val="00115BA3"/>
    <w:rsid w:val="0011661B"/>
    <w:rsid w:val="00116C4D"/>
    <w:rsid w:val="00117B68"/>
    <w:rsid w:val="00117D42"/>
    <w:rsid w:val="00120455"/>
    <w:rsid w:val="001205DC"/>
    <w:rsid w:val="00120ED8"/>
    <w:rsid w:val="00121502"/>
    <w:rsid w:val="00121513"/>
    <w:rsid w:val="0012164F"/>
    <w:rsid w:val="00121CD5"/>
    <w:rsid w:val="00121D64"/>
    <w:rsid w:val="00122116"/>
    <w:rsid w:val="001223AB"/>
    <w:rsid w:val="0012268E"/>
    <w:rsid w:val="00122984"/>
    <w:rsid w:val="00122CA9"/>
    <w:rsid w:val="00122D08"/>
    <w:rsid w:val="00123560"/>
    <w:rsid w:val="001236D7"/>
    <w:rsid w:val="00123F0F"/>
    <w:rsid w:val="001241DD"/>
    <w:rsid w:val="00124923"/>
    <w:rsid w:val="00124EAD"/>
    <w:rsid w:val="00124EB4"/>
    <w:rsid w:val="00125AAC"/>
    <w:rsid w:val="00125CC4"/>
    <w:rsid w:val="00125D4B"/>
    <w:rsid w:val="001262B1"/>
    <w:rsid w:val="00126802"/>
    <w:rsid w:val="00126A53"/>
    <w:rsid w:val="00126B11"/>
    <w:rsid w:val="00126CBD"/>
    <w:rsid w:val="00127A02"/>
    <w:rsid w:val="00131613"/>
    <w:rsid w:val="001319BF"/>
    <w:rsid w:val="00131BF7"/>
    <w:rsid w:val="0013227E"/>
    <w:rsid w:val="00132622"/>
    <w:rsid w:val="001329FF"/>
    <w:rsid w:val="001331DC"/>
    <w:rsid w:val="0013329E"/>
    <w:rsid w:val="001332F5"/>
    <w:rsid w:val="001336AF"/>
    <w:rsid w:val="00133A64"/>
    <w:rsid w:val="00133DDE"/>
    <w:rsid w:val="001347AA"/>
    <w:rsid w:val="0013516C"/>
    <w:rsid w:val="00135170"/>
    <w:rsid w:val="00135578"/>
    <w:rsid w:val="00135A8B"/>
    <w:rsid w:val="00135BF4"/>
    <w:rsid w:val="00135EBA"/>
    <w:rsid w:val="0013623F"/>
    <w:rsid w:val="001367E5"/>
    <w:rsid w:val="00136837"/>
    <w:rsid w:val="00136A9E"/>
    <w:rsid w:val="00136D15"/>
    <w:rsid w:val="00136D7A"/>
    <w:rsid w:val="00136F1F"/>
    <w:rsid w:val="00137010"/>
    <w:rsid w:val="00137DEA"/>
    <w:rsid w:val="00140387"/>
    <w:rsid w:val="0014082B"/>
    <w:rsid w:val="0014085E"/>
    <w:rsid w:val="001408B1"/>
    <w:rsid w:val="00140CE1"/>
    <w:rsid w:val="00141157"/>
    <w:rsid w:val="00141843"/>
    <w:rsid w:val="00141FBE"/>
    <w:rsid w:val="00142311"/>
    <w:rsid w:val="00142533"/>
    <w:rsid w:val="0014299B"/>
    <w:rsid w:val="001429AD"/>
    <w:rsid w:val="00142DBF"/>
    <w:rsid w:val="00142F3D"/>
    <w:rsid w:val="00143E17"/>
    <w:rsid w:val="00143FEC"/>
    <w:rsid w:val="00145023"/>
    <w:rsid w:val="001466DA"/>
    <w:rsid w:val="00146AC3"/>
    <w:rsid w:val="00147004"/>
    <w:rsid w:val="0014710A"/>
    <w:rsid w:val="001472D7"/>
    <w:rsid w:val="001476EE"/>
    <w:rsid w:val="00147A48"/>
    <w:rsid w:val="00147A8A"/>
    <w:rsid w:val="00147D21"/>
    <w:rsid w:val="00150EAC"/>
    <w:rsid w:val="00150ED1"/>
    <w:rsid w:val="001515B1"/>
    <w:rsid w:val="0015191F"/>
    <w:rsid w:val="001525DA"/>
    <w:rsid w:val="0015293D"/>
    <w:rsid w:val="00152EF6"/>
    <w:rsid w:val="00153A98"/>
    <w:rsid w:val="00153A9C"/>
    <w:rsid w:val="001543D9"/>
    <w:rsid w:val="001547CA"/>
    <w:rsid w:val="00154826"/>
    <w:rsid w:val="00154D75"/>
    <w:rsid w:val="00155170"/>
    <w:rsid w:val="00155BD1"/>
    <w:rsid w:val="0015637C"/>
    <w:rsid w:val="00156D75"/>
    <w:rsid w:val="00157042"/>
    <w:rsid w:val="0015766E"/>
    <w:rsid w:val="00157ED7"/>
    <w:rsid w:val="00160058"/>
    <w:rsid w:val="00160708"/>
    <w:rsid w:val="00160CD7"/>
    <w:rsid w:val="001611E1"/>
    <w:rsid w:val="00161614"/>
    <w:rsid w:val="00161747"/>
    <w:rsid w:val="00161F32"/>
    <w:rsid w:val="00161F91"/>
    <w:rsid w:val="0016224C"/>
    <w:rsid w:val="00162895"/>
    <w:rsid w:val="001628E1"/>
    <w:rsid w:val="0016358D"/>
    <w:rsid w:val="00163EC2"/>
    <w:rsid w:val="0016416D"/>
    <w:rsid w:val="001641B0"/>
    <w:rsid w:val="00164343"/>
    <w:rsid w:val="00164438"/>
    <w:rsid w:val="001644BD"/>
    <w:rsid w:val="00164568"/>
    <w:rsid w:val="00164765"/>
    <w:rsid w:val="001651CF"/>
    <w:rsid w:val="001655EC"/>
    <w:rsid w:val="0016587A"/>
    <w:rsid w:val="00165D6F"/>
    <w:rsid w:val="00166323"/>
    <w:rsid w:val="001674CC"/>
    <w:rsid w:val="00167F94"/>
    <w:rsid w:val="001701DC"/>
    <w:rsid w:val="001705A4"/>
    <w:rsid w:val="00170C43"/>
    <w:rsid w:val="00170DA2"/>
    <w:rsid w:val="00171004"/>
    <w:rsid w:val="0017146E"/>
    <w:rsid w:val="001719C1"/>
    <w:rsid w:val="00171C66"/>
    <w:rsid w:val="00171D51"/>
    <w:rsid w:val="0017203E"/>
    <w:rsid w:val="0017273C"/>
    <w:rsid w:val="0017277F"/>
    <w:rsid w:val="00172A29"/>
    <w:rsid w:val="00172E54"/>
    <w:rsid w:val="00173471"/>
    <w:rsid w:val="00173752"/>
    <w:rsid w:val="00173BEB"/>
    <w:rsid w:val="00173D87"/>
    <w:rsid w:val="0017484E"/>
    <w:rsid w:val="00174E13"/>
    <w:rsid w:val="00174EFD"/>
    <w:rsid w:val="00174F17"/>
    <w:rsid w:val="001750F9"/>
    <w:rsid w:val="00175506"/>
    <w:rsid w:val="001759F6"/>
    <w:rsid w:val="00175CC6"/>
    <w:rsid w:val="00175CDF"/>
    <w:rsid w:val="00176452"/>
    <w:rsid w:val="0017649A"/>
    <w:rsid w:val="00176550"/>
    <w:rsid w:val="00176A7C"/>
    <w:rsid w:val="00176AA6"/>
    <w:rsid w:val="00176DD4"/>
    <w:rsid w:val="001770DA"/>
    <w:rsid w:val="00177129"/>
    <w:rsid w:val="00177FD5"/>
    <w:rsid w:val="001801FC"/>
    <w:rsid w:val="0018047E"/>
    <w:rsid w:val="00180547"/>
    <w:rsid w:val="00180F63"/>
    <w:rsid w:val="0018126F"/>
    <w:rsid w:val="0018138D"/>
    <w:rsid w:val="00181625"/>
    <w:rsid w:val="00181B2F"/>
    <w:rsid w:val="00181F53"/>
    <w:rsid w:val="00181FCA"/>
    <w:rsid w:val="00182164"/>
    <w:rsid w:val="001821D4"/>
    <w:rsid w:val="001826C2"/>
    <w:rsid w:val="0018270C"/>
    <w:rsid w:val="001827B6"/>
    <w:rsid w:val="00182866"/>
    <w:rsid w:val="00182A9D"/>
    <w:rsid w:val="001832E7"/>
    <w:rsid w:val="00183BD9"/>
    <w:rsid w:val="00184181"/>
    <w:rsid w:val="001842EC"/>
    <w:rsid w:val="00184455"/>
    <w:rsid w:val="001845F9"/>
    <w:rsid w:val="001848CA"/>
    <w:rsid w:val="00184D6F"/>
    <w:rsid w:val="00184FE6"/>
    <w:rsid w:val="0018520A"/>
    <w:rsid w:val="001857FD"/>
    <w:rsid w:val="00185B0D"/>
    <w:rsid w:val="0018646B"/>
    <w:rsid w:val="00186E28"/>
    <w:rsid w:val="00187E6E"/>
    <w:rsid w:val="001901F6"/>
    <w:rsid w:val="00190757"/>
    <w:rsid w:val="001909BA"/>
    <w:rsid w:val="00190FE7"/>
    <w:rsid w:val="00191659"/>
    <w:rsid w:val="0019175E"/>
    <w:rsid w:val="0019234B"/>
    <w:rsid w:val="0019240E"/>
    <w:rsid w:val="00192489"/>
    <w:rsid w:val="0019282C"/>
    <w:rsid w:val="0019292C"/>
    <w:rsid w:val="00192992"/>
    <w:rsid w:val="00192AEB"/>
    <w:rsid w:val="00192D87"/>
    <w:rsid w:val="00193706"/>
    <w:rsid w:val="0019424D"/>
    <w:rsid w:val="001949D7"/>
    <w:rsid w:val="00194B66"/>
    <w:rsid w:val="00194BF3"/>
    <w:rsid w:val="00194F78"/>
    <w:rsid w:val="00195264"/>
    <w:rsid w:val="001957AE"/>
    <w:rsid w:val="001957D1"/>
    <w:rsid w:val="00195AA5"/>
    <w:rsid w:val="00195D60"/>
    <w:rsid w:val="00195E59"/>
    <w:rsid w:val="00195F36"/>
    <w:rsid w:val="00196356"/>
    <w:rsid w:val="00196419"/>
    <w:rsid w:val="0019657C"/>
    <w:rsid w:val="00196664"/>
    <w:rsid w:val="0019679C"/>
    <w:rsid w:val="00197123"/>
    <w:rsid w:val="001977B6"/>
    <w:rsid w:val="001979CA"/>
    <w:rsid w:val="001A084B"/>
    <w:rsid w:val="001A10D8"/>
    <w:rsid w:val="001A183E"/>
    <w:rsid w:val="001A1906"/>
    <w:rsid w:val="001A1F25"/>
    <w:rsid w:val="001A2B59"/>
    <w:rsid w:val="001A2BFF"/>
    <w:rsid w:val="001A2EFE"/>
    <w:rsid w:val="001A385D"/>
    <w:rsid w:val="001A4659"/>
    <w:rsid w:val="001A5476"/>
    <w:rsid w:val="001A58D6"/>
    <w:rsid w:val="001A5C3C"/>
    <w:rsid w:val="001A5CD2"/>
    <w:rsid w:val="001A63C4"/>
    <w:rsid w:val="001A63CA"/>
    <w:rsid w:val="001A6871"/>
    <w:rsid w:val="001A6DAA"/>
    <w:rsid w:val="001A6EDA"/>
    <w:rsid w:val="001A6F24"/>
    <w:rsid w:val="001A7691"/>
    <w:rsid w:val="001A7F31"/>
    <w:rsid w:val="001B01D3"/>
    <w:rsid w:val="001B0354"/>
    <w:rsid w:val="001B06B4"/>
    <w:rsid w:val="001B0B1B"/>
    <w:rsid w:val="001B0E2F"/>
    <w:rsid w:val="001B0E62"/>
    <w:rsid w:val="001B122B"/>
    <w:rsid w:val="001B1520"/>
    <w:rsid w:val="001B1842"/>
    <w:rsid w:val="001B1B18"/>
    <w:rsid w:val="001B1B93"/>
    <w:rsid w:val="001B1F3D"/>
    <w:rsid w:val="001B27E2"/>
    <w:rsid w:val="001B2EAA"/>
    <w:rsid w:val="001B3276"/>
    <w:rsid w:val="001B3590"/>
    <w:rsid w:val="001B4669"/>
    <w:rsid w:val="001B47B7"/>
    <w:rsid w:val="001B5609"/>
    <w:rsid w:val="001B56B9"/>
    <w:rsid w:val="001B5A5A"/>
    <w:rsid w:val="001B5E55"/>
    <w:rsid w:val="001B5FBD"/>
    <w:rsid w:val="001B6291"/>
    <w:rsid w:val="001B6411"/>
    <w:rsid w:val="001B6E19"/>
    <w:rsid w:val="001B702F"/>
    <w:rsid w:val="001B730B"/>
    <w:rsid w:val="001B7A01"/>
    <w:rsid w:val="001B7CF2"/>
    <w:rsid w:val="001B7D4E"/>
    <w:rsid w:val="001C0227"/>
    <w:rsid w:val="001C05F1"/>
    <w:rsid w:val="001C06C9"/>
    <w:rsid w:val="001C0ADD"/>
    <w:rsid w:val="001C0EAA"/>
    <w:rsid w:val="001C1042"/>
    <w:rsid w:val="001C12DB"/>
    <w:rsid w:val="001C1620"/>
    <w:rsid w:val="001C189C"/>
    <w:rsid w:val="001C26E2"/>
    <w:rsid w:val="001C2793"/>
    <w:rsid w:val="001C43AB"/>
    <w:rsid w:val="001C4D27"/>
    <w:rsid w:val="001C50D5"/>
    <w:rsid w:val="001C5430"/>
    <w:rsid w:val="001C5961"/>
    <w:rsid w:val="001C6107"/>
    <w:rsid w:val="001C627A"/>
    <w:rsid w:val="001C6284"/>
    <w:rsid w:val="001C6C5A"/>
    <w:rsid w:val="001C7092"/>
    <w:rsid w:val="001C70E4"/>
    <w:rsid w:val="001C7112"/>
    <w:rsid w:val="001C7396"/>
    <w:rsid w:val="001C7769"/>
    <w:rsid w:val="001C7CD5"/>
    <w:rsid w:val="001C7D73"/>
    <w:rsid w:val="001D04A4"/>
    <w:rsid w:val="001D07E4"/>
    <w:rsid w:val="001D08AF"/>
    <w:rsid w:val="001D0AA9"/>
    <w:rsid w:val="001D0AD4"/>
    <w:rsid w:val="001D1594"/>
    <w:rsid w:val="001D1941"/>
    <w:rsid w:val="001D19CC"/>
    <w:rsid w:val="001D2758"/>
    <w:rsid w:val="001D2A26"/>
    <w:rsid w:val="001D2CC5"/>
    <w:rsid w:val="001D35C3"/>
    <w:rsid w:val="001D42CA"/>
    <w:rsid w:val="001D48A8"/>
    <w:rsid w:val="001D4F8E"/>
    <w:rsid w:val="001D5290"/>
    <w:rsid w:val="001D5409"/>
    <w:rsid w:val="001D59F1"/>
    <w:rsid w:val="001D5AFC"/>
    <w:rsid w:val="001D5BFE"/>
    <w:rsid w:val="001D61CA"/>
    <w:rsid w:val="001D63CC"/>
    <w:rsid w:val="001D6415"/>
    <w:rsid w:val="001D6E53"/>
    <w:rsid w:val="001D6EC6"/>
    <w:rsid w:val="001D6EF9"/>
    <w:rsid w:val="001D7049"/>
    <w:rsid w:val="001D754A"/>
    <w:rsid w:val="001D77E2"/>
    <w:rsid w:val="001D7C39"/>
    <w:rsid w:val="001D7E1D"/>
    <w:rsid w:val="001E04CC"/>
    <w:rsid w:val="001E0AFE"/>
    <w:rsid w:val="001E0C13"/>
    <w:rsid w:val="001E0E54"/>
    <w:rsid w:val="001E1724"/>
    <w:rsid w:val="001E1916"/>
    <w:rsid w:val="001E195F"/>
    <w:rsid w:val="001E1B83"/>
    <w:rsid w:val="001E2306"/>
    <w:rsid w:val="001E26BE"/>
    <w:rsid w:val="001E2AA5"/>
    <w:rsid w:val="001E2DC2"/>
    <w:rsid w:val="001E3057"/>
    <w:rsid w:val="001E3411"/>
    <w:rsid w:val="001E3474"/>
    <w:rsid w:val="001E3600"/>
    <w:rsid w:val="001E3F41"/>
    <w:rsid w:val="001E4C46"/>
    <w:rsid w:val="001E4F9F"/>
    <w:rsid w:val="001E52AB"/>
    <w:rsid w:val="001E57CE"/>
    <w:rsid w:val="001E5E5B"/>
    <w:rsid w:val="001E60BA"/>
    <w:rsid w:val="001E617E"/>
    <w:rsid w:val="001E6E5D"/>
    <w:rsid w:val="001F0218"/>
    <w:rsid w:val="001F069A"/>
    <w:rsid w:val="001F0F07"/>
    <w:rsid w:val="001F140F"/>
    <w:rsid w:val="001F158D"/>
    <w:rsid w:val="001F19E3"/>
    <w:rsid w:val="001F1DB6"/>
    <w:rsid w:val="001F2129"/>
    <w:rsid w:val="001F25A4"/>
    <w:rsid w:val="001F25D6"/>
    <w:rsid w:val="001F2650"/>
    <w:rsid w:val="001F2737"/>
    <w:rsid w:val="001F27FF"/>
    <w:rsid w:val="001F39E9"/>
    <w:rsid w:val="001F3B91"/>
    <w:rsid w:val="001F3E87"/>
    <w:rsid w:val="001F45B7"/>
    <w:rsid w:val="001F4AF3"/>
    <w:rsid w:val="001F4E2D"/>
    <w:rsid w:val="001F4FCC"/>
    <w:rsid w:val="001F544A"/>
    <w:rsid w:val="001F5566"/>
    <w:rsid w:val="001F56E7"/>
    <w:rsid w:val="001F5E6D"/>
    <w:rsid w:val="001F672A"/>
    <w:rsid w:val="001F71A9"/>
    <w:rsid w:val="001F71C3"/>
    <w:rsid w:val="001F7223"/>
    <w:rsid w:val="001F7373"/>
    <w:rsid w:val="001F789D"/>
    <w:rsid w:val="0020005C"/>
    <w:rsid w:val="0020039B"/>
    <w:rsid w:val="00200460"/>
    <w:rsid w:val="00200646"/>
    <w:rsid w:val="00200AE4"/>
    <w:rsid w:val="00200FCC"/>
    <w:rsid w:val="002012DA"/>
    <w:rsid w:val="0020153F"/>
    <w:rsid w:val="00201CC7"/>
    <w:rsid w:val="00201ED7"/>
    <w:rsid w:val="00202621"/>
    <w:rsid w:val="00202FEE"/>
    <w:rsid w:val="0020382E"/>
    <w:rsid w:val="00204110"/>
    <w:rsid w:val="002042F7"/>
    <w:rsid w:val="00204637"/>
    <w:rsid w:val="002046DD"/>
    <w:rsid w:val="002047C6"/>
    <w:rsid w:val="00204C7B"/>
    <w:rsid w:val="00205246"/>
    <w:rsid w:val="00205D0A"/>
    <w:rsid w:val="00205F56"/>
    <w:rsid w:val="00206630"/>
    <w:rsid w:val="00206756"/>
    <w:rsid w:val="00206794"/>
    <w:rsid w:val="002067CD"/>
    <w:rsid w:val="002067E8"/>
    <w:rsid w:val="00207790"/>
    <w:rsid w:val="00207979"/>
    <w:rsid w:val="00207A1E"/>
    <w:rsid w:val="00207A8B"/>
    <w:rsid w:val="00207B89"/>
    <w:rsid w:val="00207BEA"/>
    <w:rsid w:val="00207EF5"/>
    <w:rsid w:val="00207F73"/>
    <w:rsid w:val="002100F0"/>
    <w:rsid w:val="00210287"/>
    <w:rsid w:val="002102A0"/>
    <w:rsid w:val="002104D9"/>
    <w:rsid w:val="00210DB6"/>
    <w:rsid w:val="00210E23"/>
    <w:rsid w:val="002111E7"/>
    <w:rsid w:val="00211571"/>
    <w:rsid w:val="002127C3"/>
    <w:rsid w:val="00212956"/>
    <w:rsid w:val="00212EF5"/>
    <w:rsid w:val="00213A9F"/>
    <w:rsid w:val="002140AF"/>
    <w:rsid w:val="00214182"/>
    <w:rsid w:val="0021454E"/>
    <w:rsid w:val="002147DB"/>
    <w:rsid w:val="0021539F"/>
    <w:rsid w:val="0021629B"/>
    <w:rsid w:val="002166B4"/>
    <w:rsid w:val="00217240"/>
    <w:rsid w:val="00217D64"/>
    <w:rsid w:val="00217E8D"/>
    <w:rsid w:val="0022007E"/>
    <w:rsid w:val="0022009E"/>
    <w:rsid w:val="002200FE"/>
    <w:rsid w:val="002203AB"/>
    <w:rsid w:val="00220F3E"/>
    <w:rsid w:val="00221765"/>
    <w:rsid w:val="00222289"/>
    <w:rsid w:val="0022243E"/>
    <w:rsid w:val="002226EE"/>
    <w:rsid w:val="00222D93"/>
    <w:rsid w:val="00222DB6"/>
    <w:rsid w:val="00223334"/>
    <w:rsid w:val="002233E3"/>
    <w:rsid w:val="00223B02"/>
    <w:rsid w:val="00223B03"/>
    <w:rsid w:val="00224363"/>
    <w:rsid w:val="00224599"/>
    <w:rsid w:val="00224872"/>
    <w:rsid w:val="00224BF0"/>
    <w:rsid w:val="00225394"/>
    <w:rsid w:val="00226534"/>
    <w:rsid w:val="002266E3"/>
    <w:rsid w:val="00226787"/>
    <w:rsid w:val="00226CC3"/>
    <w:rsid w:val="00226F8C"/>
    <w:rsid w:val="00227120"/>
    <w:rsid w:val="002278F2"/>
    <w:rsid w:val="00227B59"/>
    <w:rsid w:val="00227BA6"/>
    <w:rsid w:val="00227E7F"/>
    <w:rsid w:val="00230659"/>
    <w:rsid w:val="00230860"/>
    <w:rsid w:val="00230AA1"/>
    <w:rsid w:val="00230BB4"/>
    <w:rsid w:val="00230C09"/>
    <w:rsid w:val="00230CDC"/>
    <w:rsid w:val="0023131F"/>
    <w:rsid w:val="00231670"/>
    <w:rsid w:val="00231A49"/>
    <w:rsid w:val="00231AA5"/>
    <w:rsid w:val="00231BFD"/>
    <w:rsid w:val="0023250B"/>
    <w:rsid w:val="0023259E"/>
    <w:rsid w:val="002325A3"/>
    <w:rsid w:val="00232C20"/>
    <w:rsid w:val="002334CE"/>
    <w:rsid w:val="0023379D"/>
    <w:rsid w:val="00233A87"/>
    <w:rsid w:val="00233B86"/>
    <w:rsid w:val="00233BB6"/>
    <w:rsid w:val="00233CBB"/>
    <w:rsid w:val="0023498D"/>
    <w:rsid w:val="00234FA6"/>
    <w:rsid w:val="002352BC"/>
    <w:rsid w:val="002353CE"/>
    <w:rsid w:val="002354C0"/>
    <w:rsid w:val="00235EAB"/>
    <w:rsid w:val="00235FF0"/>
    <w:rsid w:val="002360A5"/>
    <w:rsid w:val="00236294"/>
    <w:rsid w:val="00236A18"/>
    <w:rsid w:val="002371A8"/>
    <w:rsid w:val="002373A9"/>
    <w:rsid w:val="00237438"/>
    <w:rsid w:val="0023760B"/>
    <w:rsid w:val="00237797"/>
    <w:rsid w:val="0023789A"/>
    <w:rsid w:val="00237FC3"/>
    <w:rsid w:val="0024076D"/>
    <w:rsid w:val="00240A9B"/>
    <w:rsid w:val="00240CA1"/>
    <w:rsid w:val="002411D5"/>
    <w:rsid w:val="002412EB"/>
    <w:rsid w:val="00241348"/>
    <w:rsid w:val="002415A5"/>
    <w:rsid w:val="00241CAC"/>
    <w:rsid w:val="00242237"/>
    <w:rsid w:val="00242A7B"/>
    <w:rsid w:val="00242C85"/>
    <w:rsid w:val="00242CDD"/>
    <w:rsid w:val="00244098"/>
    <w:rsid w:val="00244133"/>
    <w:rsid w:val="002443EB"/>
    <w:rsid w:val="00244573"/>
    <w:rsid w:val="0024470A"/>
    <w:rsid w:val="00244A2E"/>
    <w:rsid w:val="00244BDC"/>
    <w:rsid w:val="002454A4"/>
    <w:rsid w:val="002463DA"/>
    <w:rsid w:val="002463F3"/>
    <w:rsid w:val="00246428"/>
    <w:rsid w:val="00246583"/>
    <w:rsid w:val="00246CF3"/>
    <w:rsid w:val="00246E5E"/>
    <w:rsid w:val="002471AB"/>
    <w:rsid w:val="00247963"/>
    <w:rsid w:val="002479C9"/>
    <w:rsid w:val="00247A45"/>
    <w:rsid w:val="00247F5F"/>
    <w:rsid w:val="00247F70"/>
    <w:rsid w:val="00250452"/>
    <w:rsid w:val="00250897"/>
    <w:rsid w:val="00250BC1"/>
    <w:rsid w:val="00251342"/>
    <w:rsid w:val="002513C7"/>
    <w:rsid w:val="002515D3"/>
    <w:rsid w:val="002518D9"/>
    <w:rsid w:val="00251A1B"/>
    <w:rsid w:val="00251A3E"/>
    <w:rsid w:val="00251AE9"/>
    <w:rsid w:val="00251D36"/>
    <w:rsid w:val="002522B3"/>
    <w:rsid w:val="00252474"/>
    <w:rsid w:val="00252931"/>
    <w:rsid w:val="0025294A"/>
    <w:rsid w:val="00252A8C"/>
    <w:rsid w:val="0025350D"/>
    <w:rsid w:val="00253CBF"/>
    <w:rsid w:val="00253DC1"/>
    <w:rsid w:val="0025549D"/>
    <w:rsid w:val="002556F8"/>
    <w:rsid w:val="002560DA"/>
    <w:rsid w:val="00256444"/>
    <w:rsid w:val="00256563"/>
    <w:rsid w:val="00256AF3"/>
    <w:rsid w:val="0025718C"/>
    <w:rsid w:val="0025738C"/>
    <w:rsid w:val="00257B90"/>
    <w:rsid w:val="00260632"/>
    <w:rsid w:val="0026070C"/>
    <w:rsid w:val="00260A4F"/>
    <w:rsid w:val="00260C26"/>
    <w:rsid w:val="00260FCD"/>
    <w:rsid w:val="002610E6"/>
    <w:rsid w:val="002610F0"/>
    <w:rsid w:val="00261FED"/>
    <w:rsid w:val="002621B6"/>
    <w:rsid w:val="002622FB"/>
    <w:rsid w:val="002626BB"/>
    <w:rsid w:val="00262F9B"/>
    <w:rsid w:val="002634D7"/>
    <w:rsid w:val="002638C1"/>
    <w:rsid w:val="00263AA8"/>
    <w:rsid w:val="0026409F"/>
    <w:rsid w:val="002642E5"/>
    <w:rsid w:val="002643A3"/>
    <w:rsid w:val="002645D5"/>
    <w:rsid w:val="0026522E"/>
    <w:rsid w:val="00265A04"/>
    <w:rsid w:val="002661A3"/>
    <w:rsid w:val="002661F3"/>
    <w:rsid w:val="00266789"/>
    <w:rsid w:val="0026777A"/>
    <w:rsid w:val="00267E5C"/>
    <w:rsid w:val="002700B4"/>
    <w:rsid w:val="00270201"/>
    <w:rsid w:val="00270528"/>
    <w:rsid w:val="002706C5"/>
    <w:rsid w:val="0027083A"/>
    <w:rsid w:val="00270A41"/>
    <w:rsid w:val="00270A69"/>
    <w:rsid w:val="00270E95"/>
    <w:rsid w:val="002710D3"/>
    <w:rsid w:val="00271418"/>
    <w:rsid w:val="0027183B"/>
    <w:rsid w:val="00271CF5"/>
    <w:rsid w:val="00271EEC"/>
    <w:rsid w:val="0027201B"/>
    <w:rsid w:val="00272178"/>
    <w:rsid w:val="002726A7"/>
    <w:rsid w:val="00272B5D"/>
    <w:rsid w:val="00272ECB"/>
    <w:rsid w:val="0027311F"/>
    <w:rsid w:val="00273326"/>
    <w:rsid w:val="00273693"/>
    <w:rsid w:val="0027376A"/>
    <w:rsid w:val="002740F0"/>
    <w:rsid w:val="00274DED"/>
    <w:rsid w:val="002755AE"/>
    <w:rsid w:val="002756D0"/>
    <w:rsid w:val="00275AA6"/>
    <w:rsid w:val="00275B21"/>
    <w:rsid w:val="00275DE5"/>
    <w:rsid w:val="0027688E"/>
    <w:rsid w:val="002769A1"/>
    <w:rsid w:val="0027710B"/>
    <w:rsid w:val="00280050"/>
    <w:rsid w:val="00280112"/>
    <w:rsid w:val="00280C25"/>
    <w:rsid w:val="00281188"/>
    <w:rsid w:val="002815E2"/>
    <w:rsid w:val="002817CA"/>
    <w:rsid w:val="002820E6"/>
    <w:rsid w:val="00282622"/>
    <w:rsid w:val="002826A2"/>
    <w:rsid w:val="002827D8"/>
    <w:rsid w:val="00282DB3"/>
    <w:rsid w:val="00282EDE"/>
    <w:rsid w:val="002833DF"/>
    <w:rsid w:val="00283734"/>
    <w:rsid w:val="00283A15"/>
    <w:rsid w:val="00284C86"/>
    <w:rsid w:val="00284CC5"/>
    <w:rsid w:val="0028588E"/>
    <w:rsid w:val="00285D9B"/>
    <w:rsid w:val="002862B7"/>
    <w:rsid w:val="00286400"/>
    <w:rsid w:val="0028659A"/>
    <w:rsid w:val="00286759"/>
    <w:rsid w:val="00286A9E"/>
    <w:rsid w:val="00286B45"/>
    <w:rsid w:val="00286D75"/>
    <w:rsid w:val="002874D0"/>
    <w:rsid w:val="002874D5"/>
    <w:rsid w:val="0028769D"/>
    <w:rsid w:val="002876D8"/>
    <w:rsid w:val="00287AC4"/>
    <w:rsid w:val="00287FA3"/>
    <w:rsid w:val="00290001"/>
    <w:rsid w:val="00290004"/>
    <w:rsid w:val="002902F6"/>
    <w:rsid w:val="0029048F"/>
    <w:rsid w:val="0029090D"/>
    <w:rsid w:val="00291299"/>
    <w:rsid w:val="00291BBF"/>
    <w:rsid w:val="00291BE1"/>
    <w:rsid w:val="00291E25"/>
    <w:rsid w:val="0029230A"/>
    <w:rsid w:val="002926A0"/>
    <w:rsid w:val="00292A50"/>
    <w:rsid w:val="00292AA9"/>
    <w:rsid w:val="00292D9E"/>
    <w:rsid w:val="0029397D"/>
    <w:rsid w:val="00293A8E"/>
    <w:rsid w:val="002943C8"/>
    <w:rsid w:val="00294558"/>
    <w:rsid w:val="002946D7"/>
    <w:rsid w:val="00294E5C"/>
    <w:rsid w:val="0029506A"/>
    <w:rsid w:val="002950C4"/>
    <w:rsid w:val="002953F0"/>
    <w:rsid w:val="002958C2"/>
    <w:rsid w:val="00296067"/>
    <w:rsid w:val="00296148"/>
    <w:rsid w:val="00296523"/>
    <w:rsid w:val="00296745"/>
    <w:rsid w:val="00296786"/>
    <w:rsid w:val="00296B8F"/>
    <w:rsid w:val="00296BCC"/>
    <w:rsid w:val="00296DAE"/>
    <w:rsid w:val="002972CA"/>
    <w:rsid w:val="00297712"/>
    <w:rsid w:val="002979D8"/>
    <w:rsid w:val="00297A83"/>
    <w:rsid w:val="00297B77"/>
    <w:rsid w:val="00297D66"/>
    <w:rsid w:val="002A02DD"/>
    <w:rsid w:val="002A053D"/>
    <w:rsid w:val="002A071C"/>
    <w:rsid w:val="002A09AA"/>
    <w:rsid w:val="002A0C40"/>
    <w:rsid w:val="002A0D5D"/>
    <w:rsid w:val="002A0DC0"/>
    <w:rsid w:val="002A0F23"/>
    <w:rsid w:val="002A1204"/>
    <w:rsid w:val="002A1553"/>
    <w:rsid w:val="002A1BA3"/>
    <w:rsid w:val="002A248D"/>
    <w:rsid w:val="002A2491"/>
    <w:rsid w:val="002A29AF"/>
    <w:rsid w:val="002A308F"/>
    <w:rsid w:val="002A333E"/>
    <w:rsid w:val="002A33F9"/>
    <w:rsid w:val="002A371E"/>
    <w:rsid w:val="002A3ACA"/>
    <w:rsid w:val="002A3CBA"/>
    <w:rsid w:val="002A3E69"/>
    <w:rsid w:val="002A4691"/>
    <w:rsid w:val="002A4A54"/>
    <w:rsid w:val="002A4C59"/>
    <w:rsid w:val="002A5046"/>
    <w:rsid w:val="002A5055"/>
    <w:rsid w:val="002A53CD"/>
    <w:rsid w:val="002A54BE"/>
    <w:rsid w:val="002A5645"/>
    <w:rsid w:val="002A56E2"/>
    <w:rsid w:val="002A5726"/>
    <w:rsid w:val="002A7001"/>
    <w:rsid w:val="002A76CD"/>
    <w:rsid w:val="002A7A7B"/>
    <w:rsid w:val="002A7D99"/>
    <w:rsid w:val="002B02ED"/>
    <w:rsid w:val="002B034A"/>
    <w:rsid w:val="002B10C6"/>
    <w:rsid w:val="002B1464"/>
    <w:rsid w:val="002B25FF"/>
    <w:rsid w:val="002B2B9E"/>
    <w:rsid w:val="002B30AA"/>
    <w:rsid w:val="002B339A"/>
    <w:rsid w:val="002B343C"/>
    <w:rsid w:val="002B39A6"/>
    <w:rsid w:val="002B3AB9"/>
    <w:rsid w:val="002B3EB9"/>
    <w:rsid w:val="002B438C"/>
    <w:rsid w:val="002B4821"/>
    <w:rsid w:val="002B4D01"/>
    <w:rsid w:val="002B4D91"/>
    <w:rsid w:val="002B5855"/>
    <w:rsid w:val="002B5CA8"/>
    <w:rsid w:val="002B5F86"/>
    <w:rsid w:val="002B655B"/>
    <w:rsid w:val="002B66A0"/>
    <w:rsid w:val="002B6AD7"/>
    <w:rsid w:val="002B6BF2"/>
    <w:rsid w:val="002B6EDC"/>
    <w:rsid w:val="002B747F"/>
    <w:rsid w:val="002B7553"/>
    <w:rsid w:val="002B785B"/>
    <w:rsid w:val="002B7C5F"/>
    <w:rsid w:val="002C0149"/>
    <w:rsid w:val="002C03F0"/>
    <w:rsid w:val="002C04F2"/>
    <w:rsid w:val="002C0DDE"/>
    <w:rsid w:val="002C0FFA"/>
    <w:rsid w:val="002C1652"/>
    <w:rsid w:val="002C16D6"/>
    <w:rsid w:val="002C2F15"/>
    <w:rsid w:val="002C31DE"/>
    <w:rsid w:val="002C32E6"/>
    <w:rsid w:val="002C3853"/>
    <w:rsid w:val="002C4971"/>
    <w:rsid w:val="002C4BF8"/>
    <w:rsid w:val="002C4C5F"/>
    <w:rsid w:val="002C4DE1"/>
    <w:rsid w:val="002C51DB"/>
    <w:rsid w:val="002C55BE"/>
    <w:rsid w:val="002C5781"/>
    <w:rsid w:val="002C67D9"/>
    <w:rsid w:val="002C6F17"/>
    <w:rsid w:val="002C7D1C"/>
    <w:rsid w:val="002C7EC6"/>
    <w:rsid w:val="002C7FD1"/>
    <w:rsid w:val="002D0095"/>
    <w:rsid w:val="002D0A6D"/>
    <w:rsid w:val="002D0ACE"/>
    <w:rsid w:val="002D117D"/>
    <w:rsid w:val="002D1181"/>
    <w:rsid w:val="002D1722"/>
    <w:rsid w:val="002D17CA"/>
    <w:rsid w:val="002D18DD"/>
    <w:rsid w:val="002D2111"/>
    <w:rsid w:val="002D2A58"/>
    <w:rsid w:val="002D2B20"/>
    <w:rsid w:val="002D2F41"/>
    <w:rsid w:val="002D3060"/>
    <w:rsid w:val="002D36A2"/>
    <w:rsid w:val="002D3D38"/>
    <w:rsid w:val="002D45F9"/>
    <w:rsid w:val="002D4975"/>
    <w:rsid w:val="002D4A45"/>
    <w:rsid w:val="002D4CE6"/>
    <w:rsid w:val="002D5084"/>
    <w:rsid w:val="002D54C3"/>
    <w:rsid w:val="002D5982"/>
    <w:rsid w:val="002D5B18"/>
    <w:rsid w:val="002D5C6B"/>
    <w:rsid w:val="002D607C"/>
    <w:rsid w:val="002D67A4"/>
    <w:rsid w:val="002D73A2"/>
    <w:rsid w:val="002D7612"/>
    <w:rsid w:val="002D78E5"/>
    <w:rsid w:val="002D7A7C"/>
    <w:rsid w:val="002E0143"/>
    <w:rsid w:val="002E0B9C"/>
    <w:rsid w:val="002E0E53"/>
    <w:rsid w:val="002E14AD"/>
    <w:rsid w:val="002E168F"/>
    <w:rsid w:val="002E174C"/>
    <w:rsid w:val="002E195C"/>
    <w:rsid w:val="002E1AF8"/>
    <w:rsid w:val="002E2774"/>
    <w:rsid w:val="002E291D"/>
    <w:rsid w:val="002E29A0"/>
    <w:rsid w:val="002E3998"/>
    <w:rsid w:val="002E41CF"/>
    <w:rsid w:val="002E4420"/>
    <w:rsid w:val="002E4962"/>
    <w:rsid w:val="002E4F87"/>
    <w:rsid w:val="002E54DA"/>
    <w:rsid w:val="002E5AA9"/>
    <w:rsid w:val="002E60D8"/>
    <w:rsid w:val="002E6A59"/>
    <w:rsid w:val="002E6C43"/>
    <w:rsid w:val="002E707C"/>
    <w:rsid w:val="002E7865"/>
    <w:rsid w:val="002F00F3"/>
    <w:rsid w:val="002F1174"/>
    <w:rsid w:val="002F182C"/>
    <w:rsid w:val="002F1983"/>
    <w:rsid w:val="002F22C2"/>
    <w:rsid w:val="002F24EA"/>
    <w:rsid w:val="002F2531"/>
    <w:rsid w:val="002F2558"/>
    <w:rsid w:val="002F2867"/>
    <w:rsid w:val="002F2C89"/>
    <w:rsid w:val="002F2C8C"/>
    <w:rsid w:val="002F2F5C"/>
    <w:rsid w:val="002F3090"/>
    <w:rsid w:val="002F32DC"/>
    <w:rsid w:val="002F356F"/>
    <w:rsid w:val="002F387C"/>
    <w:rsid w:val="002F3ECE"/>
    <w:rsid w:val="002F43A5"/>
    <w:rsid w:val="002F4C71"/>
    <w:rsid w:val="002F4D72"/>
    <w:rsid w:val="002F54DB"/>
    <w:rsid w:val="002F56D7"/>
    <w:rsid w:val="002F5961"/>
    <w:rsid w:val="002F6227"/>
    <w:rsid w:val="002F646E"/>
    <w:rsid w:val="002F6875"/>
    <w:rsid w:val="002F6A9F"/>
    <w:rsid w:val="002F73BF"/>
    <w:rsid w:val="002F7405"/>
    <w:rsid w:val="002F7D64"/>
    <w:rsid w:val="003008E1"/>
    <w:rsid w:val="003009F9"/>
    <w:rsid w:val="00301297"/>
    <w:rsid w:val="0030169D"/>
    <w:rsid w:val="003016A6"/>
    <w:rsid w:val="003019F8"/>
    <w:rsid w:val="00301CD5"/>
    <w:rsid w:val="00301E45"/>
    <w:rsid w:val="00301E62"/>
    <w:rsid w:val="003024F6"/>
    <w:rsid w:val="00302659"/>
    <w:rsid w:val="003027C8"/>
    <w:rsid w:val="0030288F"/>
    <w:rsid w:val="00302B41"/>
    <w:rsid w:val="003034B7"/>
    <w:rsid w:val="003036D0"/>
    <w:rsid w:val="0030413C"/>
    <w:rsid w:val="0030436B"/>
    <w:rsid w:val="00304B7E"/>
    <w:rsid w:val="00305139"/>
    <w:rsid w:val="00305162"/>
    <w:rsid w:val="003054D1"/>
    <w:rsid w:val="00305B7A"/>
    <w:rsid w:val="00305F11"/>
    <w:rsid w:val="003065F6"/>
    <w:rsid w:val="00306DF6"/>
    <w:rsid w:val="00307548"/>
    <w:rsid w:val="003078B6"/>
    <w:rsid w:val="0031075E"/>
    <w:rsid w:val="00310F4F"/>
    <w:rsid w:val="0031100A"/>
    <w:rsid w:val="003110AD"/>
    <w:rsid w:val="00311F85"/>
    <w:rsid w:val="003124E9"/>
    <w:rsid w:val="0031275B"/>
    <w:rsid w:val="00312A79"/>
    <w:rsid w:val="00313060"/>
    <w:rsid w:val="003136F5"/>
    <w:rsid w:val="00314735"/>
    <w:rsid w:val="003148B7"/>
    <w:rsid w:val="00314BF2"/>
    <w:rsid w:val="00314DF1"/>
    <w:rsid w:val="00315103"/>
    <w:rsid w:val="003151DD"/>
    <w:rsid w:val="0031531A"/>
    <w:rsid w:val="00315734"/>
    <w:rsid w:val="00315BE2"/>
    <w:rsid w:val="00315DA0"/>
    <w:rsid w:val="00315FC5"/>
    <w:rsid w:val="00316053"/>
    <w:rsid w:val="0031733F"/>
    <w:rsid w:val="00317A3C"/>
    <w:rsid w:val="00317D40"/>
    <w:rsid w:val="003200BB"/>
    <w:rsid w:val="00320546"/>
    <w:rsid w:val="00320A7B"/>
    <w:rsid w:val="00320B81"/>
    <w:rsid w:val="00320FCA"/>
    <w:rsid w:val="003212F4"/>
    <w:rsid w:val="00321D11"/>
    <w:rsid w:val="00321E9A"/>
    <w:rsid w:val="00321FA0"/>
    <w:rsid w:val="003220AA"/>
    <w:rsid w:val="003222E1"/>
    <w:rsid w:val="003227EF"/>
    <w:rsid w:val="0032293C"/>
    <w:rsid w:val="00322C60"/>
    <w:rsid w:val="00322C7A"/>
    <w:rsid w:val="00322CA2"/>
    <w:rsid w:val="00323A67"/>
    <w:rsid w:val="00323BC3"/>
    <w:rsid w:val="00323F21"/>
    <w:rsid w:val="00324295"/>
    <w:rsid w:val="00324360"/>
    <w:rsid w:val="0032450B"/>
    <w:rsid w:val="003246CE"/>
    <w:rsid w:val="00325E39"/>
    <w:rsid w:val="003266E6"/>
    <w:rsid w:val="00326AFE"/>
    <w:rsid w:val="00327590"/>
    <w:rsid w:val="00327640"/>
    <w:rsid w:val="00327D5B"/>
    <w:rsid w:val="00327D8A"/>
    <w:rsid w:val="003300D1"/>
    <w:rsid w:val="003300F5"/>
    <w:rsid w:val="0033018E"/>
    <w:rsid w:val="00330408"/>
    <w:rsid w:val="0033082E"/>
    <w:rsid w:val="00330A1F"/>
    <w:rsid w:val="00330C24"/>
    <w:rsid w:val="00330E14"/>
    <w:rsid w:val="00331055"/>
    <w:rsid w:val="00331767"/>
    <w:rsid w:val="0033176A"/>
    <w:rsid w:val="00331F7F"/>
    <w:rsid w:val="0033279C"/>
    <w:rsid w:val="00332E3B"/>
    <w:rsid w:val="00332F57"/>
    <w:rsid w:val="0033304F"/>
    <w:rsid w:val="00333964"/>
    <w:rsid w:val="00333B4D"/>
    <w:rsid w:val="00333CE3"/>
    <w:rsid w:val="003347EF"/>
    <w:rsid w:val="00334B94"/>
    <w:rsid w:val="00334D9A"/>
    <w:rsid w:val="00335ACE"/>
    <w:rsid w:val="00335DF5"/>
    <w:rsid w:val="0033677A"/>
    <w:rsid w:val="00336BDB"/>
    <w:rsid w:val="00337151"/>
    <w:rsid w:val="003372F6"/>
    <w:rsid w:val="003375F2"/>
    <w:rsid w:val="00337C39"/>
    <w:rsid w:val="00337D51"/>
    <w:rsid w:val="0034072F"/>
    <w:rsid w:val="0034083B"/>
    <w:rsid w:val="0034099A"/>
    <w:rsid w:val="003409F4"/>
    <w:rsid w:val="00340C52"/>
    <w:rsid w:val="00340CA6"/>
    <w:rsid w:val="00340FA5"/>
    <w:rsid w:val="00341069"/>
    <w:rsid w:val="0034171F"/>
    <w:rsid w:val="00341825"/>
    <w:rsid w:val="00341C48"/>
    <w:rsid w:val="00341D47"/>
    <w:rsid w:val="00342070"/>
    <w:rsid w:val="003422B6"/>
    <w:rsid w:val="003426D2"/>
    <w:rsid w:val="00342745"/>
    <w:rsid w:val="00342926"/>
    <w:rsid w:val="00342946"/>
    <w:rsid w:val="00342D03"/>
    <w:rsid w:val="003430BA"/>
    <w:rsid w:val="00343F66"/>
    <w:rsid w:val="003442B8"/>
    <w:rsid w:val="00344389"/>
    <w:rsid w:val="00344A2C"/>
    <w:rsid w:val="00344A63"/>
    <w:rsid w:val="003450EB"/>
    <w:rsid w:val="0034591D"/>
    <w:rsid w:val="00346345"/>
    <w:rsid w:val="00346558"/>
    <w:rsid w:val="00346B06"/>
    <w:rsid w:val="00346B34"/>
    <w:rsid w:val="0034723F"/>
    <w:rsid w:val="00347CA7"/>
    <w:rsid w:val="00347CAE"/>
    <w:rsid w:val="00350416"/>
    <w:rsid w:val="0035081F"/>
    <w:rsid w:val="003509A5"/>
    <w:rsid w:val="00351795"/>
    <w:rsid w:val="00351E35"/>
    <w:rsid w:val="003528A2"/>
    <w:rsid w:val="003529A7"/>
    <w:rsid w:val="00352A27"/>
    <w:rsid w:val="00352E16"/>
    <w:rsid w:val="0035304F"/>
    <w:rsid w:val="00353131"/>
    <w:rsid w:val="0035380F"/>
    <w:rsid w:val="00353A1A"/>
    <w:rsid w:val="00353F89"/>
    <w:rsid w:val="0035461D"/>
    <w:rsid w:val="0035468C"/>
    <w:rsid w:val="00354B5B"/>
    <w:rsid w:val="00354D49"/>
    <w:rsid w:val="00354E9B"/>
    <w:rsid w:val="00354FBC"/>
    <w:rsid w:val="0035512C"/>
    <w:rsid w:val="003559A2"/>
    <w:rsid w:val="00356229"/>
    <w:rsid w:val="00356314"/>
    <w:rsid w:val="0035685C"/>
    <w:rsid w:val="00356C57"/>
    <w:rsid w:val="00356CA8"/>
    <w:rsid w:val="00357493"/>
    <w:rsid w:val="00357D64"/>
    <w:rsid w:val="00357F02"/>
    <w:rsid w:val="00357FD4"/>
    <w:rsid w:val="00360635"/>
    <w:rsid w:val="0036067C"/>
    <w:rsid w:val="00360775"/>
    <w:rsid w:val="00360ABE"/>
    <w:rsid w:val="00360C10"/>
    <w:rsid w:val="00360C84"/>
    <w:rsid w:val="00360CD7"/>
    <w:rsid w:val="00360D67"/>
    <w:rsid w:val="00360FF1"/>
    <w:rsid w:val="00361267"/>
    <w:rsid w:val="003615CD"/>
    <w:rsid w:val="003617B5"/>
    <w:rsid w:val="00361829"/>
    <w:rsid w:val="00361957"/>
    <w:rsid w:val="003619EA"/>
    <w:rsid w:val="00361C28"/>
    <w:rsid w:val="00361D10"/>
    <w:rsid w:val="00361D8C"/>
    <w:rsid w:val="00362FE6"/>
    <w:rsid w:val="00363E06"/>
    <w:rsid w:val="00364290"/>
    <w:rsid w:val="00364641"/>
    <w:rsid w:val="003649C6"/>
    <w:rsid w:val="00364A73"/>
    <w:rsid w:val="00364CD6"/>
    <w:rsid w:val="00364DDD"/>
    <w:rsid w:val="00365545"/>
    <w:rsid w:val="00366027"/>
    <w:rsid w:val="0036616E"/>
    <w:rsid w:val="003662E4"/>
    <w:rsid w:val="003662FF"/>
    <w:rsid w:val="00366642"/>
    <w:rsid w:val="00366800"/>
    <w:rsid w:val="00367EEF"/>
    <w:rsid w:val="0037038B"/>
    <w:rsid w:val="00370431"/>
    <w:rsid w:val="00370632"/>
    <w:rsid w:val="00370D94"/>
    <w:rsid w:val="0037168B"/>
    <w:rsid w:val="003718E7"/>
    <w:rsid w:val="00372460"/>
    <w:rsid w:val="003727DD"/>
    <w:rsid w:val="00372947"/>
    <w:rsid w:val="00372BAB"/>
    <w:rsid w:val="00373428"/>
    <w:rsid w:val="00373C55"/>
    <w:rsid w:val="00373EC0"/>
    <w:rsid w:val="003741D1"/>
    <w:rsid w:val="00375AE9"/>
    <w:rsid w:val="00375C01"/>
    <w:rsid w:val="003761FB"/>
    <w:rsid w:val="003762F5"/>
    <w:rsid w:val="0037630C"/>
    <w:rsid w:val="0037646A"/>
    <w:rsid w:val="00376BB0"/>
    <w:rsid w:val="00376CE4"/>
    <w:rsid w:val="003771A1"/>
    <w:rsid w:val="003775DD"/>
    <w:rsid w:val="00377A17"/>
    <w:rsid w:val="00377A6A"/>
    <w:rsid w:val="00377D16"/>
    <w:rsid w:val="003804BA"/>
    <w:rsid w:val="00380861"/>
    <w:rsid w:val="00380869"/>
    <w:rsid w:val="00380965"/>
    <w:rsid w:val="00380B39"/>
    <w:rsid w:val="00381023"/>
    <w:rsid w:val="00381969"/>
    <w:rsid w:val="00381D81"/>
    <w:rsid w:val="00381F45"/>
    <w:rsid w:val="0038208A"/>
    <w:rsid w:val="003820FC"/>
    <w:rsid w:val="00382109"/>
    <w:rsid w:val="003823D9"/>
    <w:rsid w:val="003824CE"/>
    <w:rsid w:val="0038257D"/>
    <w:rsid w:val="003826D0"/>
    <w:rsid w:val="00382A76"/>
    <w:rsid w:val="00382BDA"/>
    <w:rsid w:val="00383102"/>
    <w:rsid w:val="00383DCF"/>
    <w:rsid w:val="00384411"/>
    <w:rsid w:val="003850CC"/>
    <w:rsid w:val="00385224"/>
    <w:rsid w:val="0038548E"/>
    <w:rsid w:val="00385953"/>
    <w:rsid w:val="00385F95"/>
    <w:rsid w:val="0038604F"/>
    <w:rsid w:val="003863B0"/>
    <w:rsid w:val="003866B3"/>
    <w:rsid w:val="00386915"/>
    <w:rsid w:val="003869D9"/>
    <w:rsid w:val="003871CD"/>
    <w:rsid w:val="003871D9"/>
    <w:rsid w:val="0038731E"/>
    <w:rsid w:val="00387397"/>
    <w:rsid w:val="00387456"/>
    <w:rsid w:val="003878E8"/>
    <w:rsid w:val="003900CB"/>
    <w:rsid w:val="00390721"/>
    <w:rsid w:val="00390749"/>
    <w:rsid w:val="00390F5E"/>
    <w:rsid w:val="003928A1"/>
    <w:rsid w:val="00392FA0"/>
    <w:rsid w:val="00393791"/>
    <w:rsid w:val="00394098"/>
    <w:rsid w:val="0039542A"/>
    <w:rsid w:val="003954B5"/>
    <w:rsid w:val="003955D1"/>
    <w:rsid w:val="0039563A"/>
    <w:rsid w:val="003957BB"/>
    <w:rsid w:val="003959EC"/>
    <w:rsid w:val="00395B72"/>
    <w:rsid w:val="00395D7A"/>
    <w:rsid w:val="00395FD5"/>
    <w:rsid w:val="003961C2"/>
    <w:rsid w:val="00396379"/>
    <w:rsid w:val="0039651B"/>
    <w:rsid w:val="003965A0"/>
    <w:rsid w:val="0039777B"/>
    <w:rsid w:val="003977EB"/>
    <w:rsid w:val="00397D48"/>
    <w:rsid w:val="00397E27"/>
    <w:rsid w:val="003A0497"/>
    <w:rsid w:val="003A0D59"/>
    <w:rsid w:val="003A0FC4"/>
    <w:rsid w:val="003A1151"/>
    <w:rsid w:val="003A1952"/>
    <w:rsid w:val="003A1E87"/>
    <w:rsid w:val="003A2322"/>
    <w:rsid w:val="003A24B8"/>
    <w:rsid w:val="003A265F"/>
    <w:rsid w:val="003A2AEE"/>
    <w:rsid w:val="003A2F83"/>
    <w:rsid w:val="003A2FFD"/>
    <w:rsid w:val="003A3277"/>
    <w:rsid w:val="003A34EE"/>
    <w:rsid w:val="003A37F5"/>
    <w:rsid w:val="003A38F0"/>
    <w:rsid w:val="003A3CFF"/>
    <w:rsid w:val="003A3D74"/>
    <w:rsid w:val="003A3FE7"/>
    <w:rsid w:val="003A41CE"/>
    <w:rsid w:val="003A4A4C"/>
    <w:rsid w:val="003A5519"/>
    <w:rsid w:val="003A5BE2"/>
    <w:rsid w:val="003A5FAF"/>
    <w:rsid w:val="003A69FC"/>
    <w:rsid w:val="003A6B82"/>
    <w:rsid w:val="003A701D"/>
    <w:rsid w:val="003A70E8"/>
    <w:rsid w:val="003A73A9"/>
    <w:rsid w:val="003A7AE9"/>
    <w:rsid w:val="003B0195"/>
    <w:rsid w:val="003B029A"/>
    <w:rsid w:val="003B0BC2"/>
    <w:rsid w:val="003B0FBD"/>
    <w:rsid w:val="003B1394"/>
    <w:rsid w:val="003B16AF"/>
    <w:rsid w:val="003B176D"/>
    <w:rsid w:val="003B177B"/>
    <w:rsid w:val="003B1872"/>
    <w:rsid w:val="003B1C3B"/>
    <w:rsid w:val="003B1F8F"/>
    <w:rsid w:val="003B1FDE"/>
    <w:rsid w:val="003B24EE"/>
    <w:rsid w:val="003B26BA"/>
    <w:rsid w:val="003B291A"/>
    <w:rsid w:val="003B2D1A"/>
    <w:rsid w:val="003B305F"/>
    <w:rsid w:val="003B3060"/>
    <w:rsid w:val="003B3273"/>
    <w:rsid w:val="003B36D7"/>
    <w:rsid w:val="003B39E1"/>
    <w:rsid w:val="003B3ADC"/>
    <w:rsid w:val="003B4051"/>
    <w:rsid w:val="003B4286"/>
    <w:rsid w:val="003B4518"/>
    <w:rsid w:val="003B45CA"/>
    <w:rsid w:val="003B48AF"/>
    <w:rsid w:val="003B4AD6"/>
    <w:rsid w:val="003B4F95"/>
    <w:rsid w:val="003B509E"/>
    <w:rsid w:val="003B570F"/>
    <w:rsid w:val="003B5C3E"/>
    <w:rsid w:val="003B5C65"/>
    <w:rsid w:val="003B60C3"/>
    <w:rsid w:val="003B65DF"/>
    <w:rsid w:val="003B6D20"/>
    <w:rsid w:val="003B7077"/>
    <w:rsid w:val="003B725C"/>
    <w:rsid w:val="003B72D9"/>
    <w:rsid w:val="003B73B5"/>
    <w:rsid w:val="003B7416"/>
    <w:rsid w:val="003B7D41"/>
    <w:rsid w:val="003B7DB8"/>
    <w:rsid w:val="003B7FC5"/>
    <w:rsid w:val="003C0219"/>
    <w:rsid w:val="003C08D0"/>
    <w:rsid w:val="003C0CD3"/>
    <w:rsid w:val="003C194D"/>
    <w:rsid w:val="003C1BE2"/>
    <w:rsid w:val="003C1C42"/>
    <w:rsid w:val="003C1CEB"/>
    <w:rsid w:val="003C1EC4"/>
    <w:rsid w:val="003C1EFE"/>
    <w:rsid w:val="003C2676"/>
    <w:rsid w:val="003C29A4"/>
    <w:rsid w:val="003C30A4"/>
    <w:rsid w:val="003C3239"/>
    <w:rsid w:val="003C3FD9"/>
    <w:rsid w:val="003C44E2"/>
    <w:rsid w:val="003C4A6C"/>
    <w:rsid w:val="003C4AED"/>
    <w:rsid w:val="003C54C5"/>
    <w:rsid w:val="003C55F1"/>
    <w:rsid w:val="003C5712"/>
    <w:rsid w:val="003C6236"/>
    <w:rsid w:val="003C6305"/>
    <w:rsid w:val="003C6819"/>
    <w:rsid w:val="003C69D1"/>
    <w:rsid w:val="003C6C1F"/>
    <w:rsid w:val="003D1172"/>
    <w:rsid w:val="003D12A4"/>
    <w:rsid w:val="003D12A7"/>
    <w:rsid w:val="003D18D7"/>
    <w:rsid w:val="003D2E38"/>
    <w:rsid w:val="003D2FCC"/>
    <w:rsid w:val="003D33AA"/>
    <w:rsid w:val="003D42EC"/>
    <w:rsid w:val="003D431D"/>
    <w:rsid w:val="003D442C"/>
    <w:rsid w:val="003D475A"/>
    <w:rsid w:val="003D496D"/>
    <w:rsid w:val="003D4B66"/>
    <w:rsid w:val="003D5124"/>
    <w:rsid w:val="003D543B"/>
    <w:rsid w:val="003D5842"/>
    <w:rsid w:val="003D5E4F"/>
    <w:rsid w:val="003D60F5"/>
    <w:rsid w:val="003D657C"/>
    <w:rsid w:val="003D679E"/>
    <w:rsid w:val="003D67AF"/>
    <w:rsid w:val="003D6A64"/>
    <w:rsid w:val="003D6BF6"/>
    <w:rsid w:val="003D6EBE"/>
    <w:rsid w:val="003D751C"/>
    <w:rsid w:val="003D79C0"/>
    <w:rsid w:val="003E0B48"/>
    <w:rsid w:val="003E0B9D"/>
    <w:rsid w:val="003E0BBC"/>
    <w:rsid w:val="003E0E88"/>
    <w:rsid w:val="003E1049"/>
    <w:rsid w:val="003E1686"/>
    <w:rsid w:val="003E19FA"/>
    <w:rsid w:val="003E1B22"/>
    <w:rsid w:val="003E1FFB"/>
    <w:rsid w:val="003E2280"/>
    <w:rsid w:val="003E23FE"/>
    <w:rsid w:val="003E29DA"/>
    <w:rsid w:val="003E2CAD"/>
    <w:rsid w:val="003E304E"/>
    <w:rsid w:val="003E3501"/>
    <w:rsid w:val="003E3729"/>
    <w:rsid w:val="003E3893"/>
    <w:rsid w:val="003E4135"/>
    <w:rsid w:val="003E445A"/>
    <w:rsid w:val="003E520C"/>
    <w:rsid w:val="003E565B"/>
    <w:rsid w:val="003E5EB7"/>
    <w:rsid w:val="003E60BB"/>
    <w:rsid w:val="003E6847"/>
    <w:rsid w:val="003E6C8F"/>
    <w:rsid w:val="003E6E65"/>
    <w:rsid w:val="003E70FF"/>
    <w:rsid w:val="003E751B"/>
    <w:rsid w:val="003E79DA"/>
    <w:rsid w:val="003F05C0"/>
    <w:rsid w:val="003F0C50"/>
    <w:rsid w:val="003F0F12"/>
    <w:rsid w:val="003F1237"/>
    <w:rsid w:val="003F1273"/>
    <w:rsid w:val="003F19BE"/>
    <w:rsid w:val="003F1F38"/>
    <w:rsid w:val="003F22F6"/>
    <w:rsid w:val="003F289B"/>
    <w:rsid w:val="003F28D6"/>
    <w:rsid w:val="003F2D56"/>
    <w:rsid w:val="003F32C5"/>
    <w:rsid w:val="003F3399"/>
    <w:rsid w:val="003F34FF"/>
    <w:rsid w:val="003F355E"/>
    <w:rsid w:val="003F386C"/>
    <w:rsid w:val="003F38DD"/>
    <w:rsid w:val="003F4497"/>
    <w:rsid w:val="003F4570"/>
    <w:rsid w:val="003F5020"/>
    <w:rsid w:val="003F51BF"/>
    <w:rsid w:val="003F5995"/>
    <w:rsid w:val="003F5EBF"/>
    <w:rsid w:val="003F5F17"/>
    <w:rsid w:val="003F625A"/>
    <w:rsid w:val="003F643F"/>
    <w:rsid w:val="003F728C"/>
    <w:rsid w:val="003F7676"/>
    <w:rsid w:val="003F7694"/>
    <w:rsid w:val="003F79DC"/>
    <w:rsid w:val="003F7A26"/>
    <w:rsid w:val="003F7E13"/>
    <w:rsid w:val="003F7E32"/>
    <w:rsid w:val="00400006"/>
    <w:rsid w:val="004001D5"/>
    <w:rsid w:val="00400247"/>
    <w:rsid w:val="004014B1"/>
    <w:rsid w:val="00401E94"/>
    <w:rsid w:val="00402525"/>
    <w:rsid w:val="00402A5A"/>
    <w:rsid w:val="00402E0B"/>
    <w:rsid w:val="00403175"/>
    <w:rsid w:val="0040321C"/>
    <w:rsid w:val="00403932"/>
    <w:rsid w:val="00403A0A"/>
    <w:rsid w:val="00404043"/>
    <w:rsid w:val="004040C2"/>
    <w:rsid w:val="004043AF"/>
    <w:rsid w:val="00404536"/>
    <w:rsid w:val="00404611"/>
    <w:rsid w:val="0040476B"/>
    <w:rsid w:val="0040593E"/>
    <w:rsid w:val="00405997"/>
    <w:rsid w:val="00405FF3"/>
    <w:rsid w:val="00406268"/>
    <w:rsid w:val="004062B6"/>
    <w:rsid w:val="00406376"/>
    <w:rsid w:val="00406768"/>
    <w:rsid w:val="00406961"/>
    <w:rsid w:val="00406D53"/>
    <w:rsid w:val="00406F7F"/>
    <w:rsid w:val="00407449"/>
    <w:rsid w:val="0040758E"/>
    <w:rsid w:val="00407597"/>
    <w:rsid w:val="004075E8"/>
    <w:rsid w:val="00407713"/>
    <w:rsid w:val="00407D5D"/>
    <w:rsid w:val="00410282"/>
    <w:rsid w:val="00410A5C"/>
    <w:rsid w:val="00411462"/>
    <w:rsid w:val="00411793"/>
    <w:rsid w:val="00411C2A"/>
    <w:rsid w:val="0041235B"/>
    <w:rsid w:val="00412949"/>
    <w:rsid w:val="00412E81"/>
    <w:rsid w:val="004131B1"/>
    <w:rsid w:val="00413437"/>
    <w:rsid w:val="004135A3"/>
    <w:rsid w:val="004135FB"/>
    <w:rsid w:val="00413E6D"/>
    <w:rsid w:val="00413EE1"/>
    <w:rsid w:val="004140B5"/>
    <w:rsid w:val="004141BB"/>
    <w:rsid w:val="00415125"/>
    <w:rsid w:val="004154CC"/>
    <w:rsid w:val="00415CC4"/>
    <w:rsid w:val="00415D97"/>
    <w:rsid w:val="00415F5E"/>
    <w:rsid w:val="004162D3"/>
    <w:rsid w:val="00416635"/>
    <w:rsid w:val="00416E02"/>
    <w:rsid w:val="00417015"/>
    <w:rsid w:val="00417430"/>
    <w:rsid w:val="004201DE"/>
    <w:rsid w:val="00420A55"/>
    <w:rsid w:val="00420D9C"/>
    <w:rsid w:val="0042123A"/>
    <w:rsid w:val="0042141E"/>
    <w:rsid w:val="004216A3"/>
    <w:rsid w:val="00421A83"/>
    <w:rsid w:val="00421C2D"/>
    <w:rsid w:val="00421F6D"/>
    <w:rsid w:val="004225E1"/>
    <w:rsid w:val="0042285D"/>
    <w:rsid w:val="00422A0D"/>
    <w:rsid w:val="00422A37"/>
    <w:rsid w:val="00422C6E"/>
    <w:rsid w:val="004232F1"/>
    <w:rsid w:val="00423748"/>
    <w:rsid w:val="00423D81"/>
    <w:rsid w:val="004243B1"/>
    <w:rsid w:val="00424464"/>
    <w:rsid w:val="004247C6"/>
    <w:rsid w:val="004247D3"/>
    <w:rsid w:val="00424B82"/>
    <w:rsid w:val="00424C98"/>
    <w:rsid w:val="004255F4"/>
    <w:rsid w:val="004257E3"/>
    <w:rsid w:val="00425853"/>
    <w:rsid w:val="00425A4B"/>
    <w:rsid w:val="00425AD5"/>
    <w:rsid w:val="00425AF8"/>
    <w:rsid w:val="00425C24"/>
    <w:rsid w:val="00425F6A"/>
    <w:rsid w:val="0042641B"/>
    <w:rsid w:val="00426B87"/>
    <w:rsid w:val="00426C7B"/>
    <w:rsid w:val="00426C8E"/>
    <w:rsid w:val="00427540"/>
    <w:rsid w:val="00427B97"/>
    <w:rsid w:val="004303C4"/>
    <w:rsid w:val="00430562"/>
    <w:rsid w:val="00430588"/>
    <w:rsid w:val="0043089E"/>
    <w:rsid w:val="00431995"/>
    <w:rsid w:val="004325FF"/>
    <w:rsid w:val="004326B6"/>
    <w:rsid w:val="00432B2B"/>
    <w:rsid w:val="0043322E"/>
    <w:rsid w:val="004333C5"/>
    <w:rsid w:val="004334A5"/>
    <w:rsid w:val="004335D7"/>
    <w:rsid w:val="00433B97"/>
    <w:rsid w:val="0043461E"/>
    <w:rsid w:val="00434669"/>
    <w:rsid w:val="00434D79"/>
    <w:rsid w:val="00434DA8"/>
    <w:rsid w:val="00434F67"/>
    <w:rsid w:val="0043528A"/>
    <w:rsid w:val="0043643C"/>
    <w:rsid w:val="00436F3D"/>
    <w:rsid w:val="00437590"/>
    <w:rsid w:val="004375D3"/>
    <w:rsid w:val="0043769F"/>
    <w:rsid w:val="00437A43"/>
    <w:rsid w:val="00440089"/>
    <w:rsid w:val="004402FD"/>
    <w:rsid w:val="0044032B"/>
    <w:rsid w:val="00440CCE"/>
    <w:rsid w:val="00440FD1"/>
    <w:rsid w:val="0044148E"/>
    <w:rsid w:val="00441AB0"/>
    <w:rsid w:val="00442017"/>
    <w:rsid w:val="00442260"/>
    <w:rsid w:val="004424AB"/>
    <w:rsid w:val="0044254B"/>
    <w:rsid w:val="00442D08"/>
    <w:rsid w:val="00442EA4"/>
    <w:rsid w:val="00443791"/>
    <w:rsid w:val="00443964"/>
    <w:rsid w:val="00443C89"/>
    <w:rsid w:val="00443E42"/>
    <w:rsid w:val="00443E9D"/>
    <w:rsid w:val="0044436D"/>
    <w:rsid w:val="0044495A"/>
    <w:rsid w:val="00444B60"/>
    <w:rsid w:val="00444DC1"/>
    <w:rsid w:val="0044635E"/>
    <w:rsid w:val="004470E4"/>
    <w:rsid w:val="00447513"/>
    <w:rsid w:val="00447A5B"/>
    <w:rsid w:val="00447F94"/>
    <w:rsid w:val="0045046B"/>
    <w:rsid w:val="00450739"/>
    <w:rsid w:val="00451095"/>
    <w:rsid w:val="00451529"/>
    <w:rsid w:val="00451623"/>
    <w:rsid w:val="00451722"/>
    <w:rsid w:val="00451D20"/>
    <w:rsid w:val="00452137"/>
    <w:rsid w:val="00452566"/>
    <w:rsid w:val="00452B44"/>
    <w:rsid w:val="00452F47"/>
    <w:rsid w:val="004539D0"/>
    <w:rsid w:val="00453A15"/>
    <w:rsid w:val="00453A58"/>
    <w:rsid w:val="00453BEB"/>
    <w:rsid w:val="0045421B"/>
    <w:rsid w:val="00454623"/>
    <w:rsid w:val="00455087"/>
    <w:rsid w:val="004554A7"/>
    <w:rsid w:val="004555CB"/>
    <w:rsid w:val="00455A0E"/>
    <w:rsid w:val="00455F1C"/>
    <w:rsid w:val="00455FD4"/>
    <w:rsid w:val="004562B7"/>
    <w:rsid w:val="004562C1"/>
    <w:rsid w:val="0045659C"/>
    <w:rsid w:val="0045689D"/>
    <w:rsid w:val="00456A1F"/>
    <w:rsid w:val="004571E1"/>
    <w:rsid w:val="00457BBA"/>
    <w:rsid w:val="00457E6F"/>
    <w:rsid w:val="00460454"/>
    <w:rsid w:val="00460861"/>
    <w:rsid w:val="00460F07"/>
    <w:rsid w:val="004615CB"/>
    <w:rsid w:val="0046175D"/>
    <w:rsid w:val="00461A1D"/>
    <w:rsid w:val="00461B75"/>
    <w:rsid w:val="004627CE"/>
    <w:rsid w:val="00462F9C"/>
    <w:rsid w:val="004636D8"/>
    <w:rsid w:val="0046485A"/>
    <w:rsid w:val="00464A05"/>
    <w:rsid w:val="00465273"/>
    <w:rsid w:val="00465563"/>
    <w:rsid w:val="00466929"/>
    <w:rsid w:val="00467731"/>
    <w:rsid w:val="004678A8"/>
    <w:rsid w:val="00470B15"/>
    <w:rsid w:val="00470C77"/>
    <w:rsid w:val="004721FB"/>
    <w:rsid w:val="0047221E"/>
    <w:rsid w:val="00472249"/>
    <w:rsid w:val="00472264"/>
    <w:rsid w:val="004726F8"/>
    <w:rsid w:val="004728EA"/>
    <w:rsid w:val="00472B73"/>
    <w:rsid w:val="00472C1C"/>
    <w:rsid w:val="00473058"/>
    <w:rsid w:val="00473215"/>
    <w:rsid w:val="0047347A"/>
    <w:rsid w:val="0047351D"/>
    <w:rsid w:val="004742A1"/>
    <w:rsid w:val="0047439F"/>
    <w:rsid w:val="004744A2"/>
    <w:rsid w:val="004744B2"/>
    <w:rsid w:val="00474BE2"/>
    <w:rsid w:val="00474C7E"/>
    <w:rsid w:val="00474FEB"/>
    <w:rsid w:val="00475202"/>
    <w:rsid w:val="004753FC"/>
    <w:rsid w:val="00475E54"/>
    <w:rsid w:val="00476044"/>
    <w:rsid w:val="00476756"/>
    <w:rsid w:val="00476BAC"/>
    <w:rsid w:val="00476D01"/>
    <w:rsid w:val="00476DC6"/>
    <w:rsid w:val="00476F96"/>
    <w:rsid w:val="0047700F"/>
    <w:rsid w:val="00477227"/>
    <w:rsid w:val="00477876"/>
    <w:rsid w:val="00477E39"/>
    <w:rsid w:val="004809B9"/>
    <w:rsid w:val="00480B6C"/>
    <w:rsid w:val="00480C35"/>
    <w:rsid w:val="004815A1"/>
    <w:rsid w:val="004819CC"/>
    <w:rsid w:val="004826D7"/>
    <w:rsid w:val="00482D95"/>
    <w:rsid w:val="00483135"/>
    <w:rsid w:val="00483BC6"/>
    <w:rsid w:val="00483E13"/>
    <w:rsid w:val="00484026"/>
    <w:rsid w:val="00484C26"/>
    <w:rsid w:val="00484EC2"/>
    <w:rsid w:val="00485066"/>
    <w:rsid w:val="004854AB"/>
    <w:rsid w:val="00485748"/>
    <w:rsid w:val="00485E2B"/>
    <w:rsid w:val="00486668"/>
    <w:rsid w:val="00486997"/>
    <w:rsid w:val="00487C32"/>
    <w:rsid w:val="0049103B"/>
    <w:rsid w:val="004915D2"/>
    <w:rsid w:val="00491C4B"/>
    <w:rsid w:val="00491D62"/>
    <w:rsid w:val="00491DC8"/>
    <w:rsid w:val="00492BB4"/>
    <w:rsid w:val="0049403D"/>
    <w:rsid w:val="00494048"/>
    <w:rsid w:val="00494116"/>
    <w:rsid w:val="004947BA"/>
    <w:rsid w:val="004947BD"/>
    <w:rsid w:val="0049491C"/>
    <w:rsid w:val="00494981"/>
    <w:rsid w:val="00494C1B"/>
    <w:rsid w:val="00494D77"/>
    <w:rsid w:val="00494D92"/>
    <w:rsid w:val="00495A21"/>
    <w:rsid w:val="00495D19"/>
    <w:rsid w:val="0049629B"/>
    <w:rsid w:val="00496431"/>
    <w:rsid w:val="00496653"/>
    <w:rsid w:val="00496A72"/>
    <w:rsid w:val="00496B10"/>
    <w:rsid w:val="0049710A"/>
    <w:rsid w:val="004979E9"/>
    <w:rsid w:val="00497EB7"/>
    <w:rsid w:val="00497F95"/>
    <w:rsid w:val="004A02CD"/>
    <w:rsid w:val="004A0ACC"/>
    <w:rsid w:val="004A0EAE"/>
    <w:rsid w:val="004A0F89"/>
    <w:rsid w:val="004A120C"/>
    <w:rsid w:val="004A1623"/>
    <w:rsid w:val="004A1634"/>
    <w:rsid w:val="004A1A3A"/>
    <w:rsid w:val="004A1ED1"/>
    <w:rsid w:val="004A3143"/>
    <w:rsid w:val="004A3BA4"/>
    <w:rsid w:val="004A43DE"/>
    <w:rsid w:val="004A4780"/>
    <w:rsid w:val="004A4918"/>
    <w:rsid w:val="004A5586"/>
    <w:rsid w:val="004A582E"/>
    <w:rsid w:val="004A6211"/>
    <w:rsid w:val="004A62B4"/>
    <w:rsid w:val="004A6532"/>
    <w:rsid w:val="004A66C6"/>
    <w:rsid w:val="004A7608"/>
    <w:rsid w:val="004A76F3"/>
    <w:rsid w:val="004A780C"/>
    <w:rsid w:val="004A7BC1"/>
    <w:rsid w:val="004B0A34"/>
    <w:rsid w:val="004B0A47"/>
    <w:rsid w:val="004B0F69"/>
    <w:rsid w:val="004B15EA"/>
    <w:rsid w:val="004B1619"/>
    <w:rsid w:val="004B1768"/>
    <w:rsid w:val="004B1DD2"/>
    <w:rsid w:val="004B23AD"/>
    <w:rsid w:val="004B24A2"/>
    <w:rsid w:val="004B2DCE"/>
    <w:rsid w:val="004B3279"/>
    <w:rsid w:val="004B3286"/>
    <w:rsid w:val="004B34F1"/>
    <w:rsid w:val="004B392A"/>
    <w:rsid w:val="004B3A7E"/>
    <w:rsid w:val="004B3B4B"/>
    <w:rsid w:val="004B3C7E"/>
    <w:rsid w:val="004B3C85"/>
    <w:rsid w:val="004B3D58"/>
    <w:rsid w:val="004B405C"/>
    <w:rsid w:val="004B47F9"/>
    <w:rsid w:val="004B521C"/>
    <w:rsid w:val="004B52C4"/>
    <w:rsid w:val="004B5550"/>
    <w:rsid w:val="004B55D1"/>
    <w:rsid w:val="004B588E"/>
    <w:rsid w:val="004B5A9E"/>
    <w:rsid w:val="004B62E0"/>
    <w:rsid w:val="004B65E6"/>
    <w:rsid w:val="004B6A75"/>
    <w:rsid w:val="004B6B85"/>
    <w:rsid w:val="004B7594"/>
    <w:rsid w:val="004B78F5"/>
    <w:rsid w:val="004C0462"/>
    <w:rsid w:val="004C0944"/>
    <w:rsid w:val="004C0984"/>
    <w:rsid w:val="004C1840"/>
    <w:rsid w:val="004C18C5"/>
    <w:rsid w:val="004C1A63"/>
    <w:rsid w:val="004C2824"/>
    <w:rsid w:val="004C2901"/>
    <w:rsid w:val="004C2A90"/>
    <w:rsid w:val="004C3591"/>
    <w:rsid w:val="004C38FF"/>
    <w:rsid w:val="004C3A16"/>
    <w:rsid w:val="004C3A4D"/>
    <w:rsid w:val="004C4012"/>
    <w:rsid w:val="004C46C7"/>
    <w:rsid w:val="004C4A57"/>
    <w:rsid w:val="004C4EEE"/>
    <w:rsid w:val="004C514B"/>
    <w:rsid w:val="004C55E7"/>
    <w:rsid w:val="004C5C5F"/>
    <w:rsid w:val="004C5D71"/>
    <w:rsid w:val="004C5F3B"/>
    <w:rsid w:val="004C5F9C"/>
    <w:rsid w:val="004C6691"/>
    <w:rsid w:val="004C688E"/>
    <w:rsid w:val="004C6A94"/>
    <w:rsid w:val="004C6A9D"/>
    <w:rsid w:val="004C7114"/>
    <w:rsid w:val="004C749A"/>
    <w:rsid w:val="004C74A0"/>
    <w:rsid w:val="004C759E"/>
    <w:rsid w:val="004C7842"/>
    <w:rsid w:val="004C7A2E"/>
    <w:rsid w:val="004C7F78"/>
    <w:rsid w:val="004D038F"/>
    <w:rsid w:val="004D0597"/>
    <w:rsid w:val="004D071A"/>
    <w:rsid w:val="004D07A7"/>
    <w:rsid w:val="004D0B8C"/>
    <w:rsid w:val="004D0D32"/>
    <w:rsid w:val="004D0FC5"/>
    <w:rsid w:val="004D0FEA"/>
    <w:rsid w:val="004D1524"/>
    <w:rsid w:val="004D1F92"/>
    <w:rsid w:val="004D2930"/>
    <w:rsid w:val="004D294C"/>
    <w:rsid w:val="004D2A8A"/>
    <w:rsid w:val="004D2CAC"/>
    <w:rsid w:val="004D2E0E"/>
    <w:rsid w:val="004D3116"/>
    <w:rsid w:val="004D3623"/>
    <w:rsid w:val="004D3AAF"/>
    <w:rsid w:val="004D41D1"/>
    <w:rsid w:val="004D42B2"/>
    <w:rsid w:val="004D4310"/>
    <w:rsid w:val="004D453A"/>
    <w:rsid w:val="004D5270"/>
    <w:rsid w:val="004D54BE"/>
    <w:rsid w:val="004D5844"/>
    <w:rsid w:val="004D59DA"/>
    <w:rsid w:val="004D6260"/>
    <w:rsid w:val="004D67D4"/>
    <w:rsid w:val="004D71C5"/>
    <w:rsid w:val="004D7477"/>
    <w:rsid w:val="004D7894"/>
    <w:rsid w:val="004D7897"/>
    <w:rsid w:val="004D7F1C"/>
    <w:rsid w:val="004E045F"/>
    <w:rsid w:val="004E064D"/>
    <w:rsid w:val="004E07AF"/>
    <w:rsid w:val="004E07FD"/>
    <w:rsid w:val="004E0EB3"/>
    <w:rsid w:val="004E0ED4"/>
    <w:rsid w:val="004E12C0"/>
    <w:rsid w:val="004E1AE6"/>
    <w:rsid w:val="004E1B64"/>
    <w:rsid w:val="004E26E9"/>
    <w:rsid w:val="004E3101"/>
    <w:rsid w:val="004E3442"/>
    <w:rsid w:val="004E3671"/>
    <w:rsid w:val="004E3724"/>
    <w:rsid w:val="004E43A3"/>
    <w:rsid w:val="004E49CA"/>
    <w:rsid w:val="004E5377"/>
    <w:rsid w:val="004E6426"/>
    <w:rsid w:val="004E663E"/>
    <w:rsid w:val="004E6E4A"/>
    <w:rsid w:val="004E6EAA"/>
    <w:rsid w:val="004E6EE2"/>
    <w:rsid w:val="004E6FA3"/>
    <w:rsid w:val="004E7572"/>
    <w:rsid w:val="004E7696"/>
    <w:rsid w:val="004E7C1C"/>
    <w:rsid w:val="004E7E31"/>
    <w:rsid w:val="004F0014"/>
    <w:rsid w:val="004F05D4"/>
    <w:rsid w:val="004F06CA"/>
    <w:rsid w:val="004F12BD"/>
    <w:rsid w:val="004F1663"/>
    <w:rsid w:val="004F1DB6"/>
    <w:rsid w:val="004F24E8"/>
    <w:rsid w:val="004F28DA"/>
    <w:rsid w:val="004F294D"/>
    <w:rsid w:val="004F2DD0"/>
    <w:rsid w:val="004F2E57"/>
    <w:rsid w:val="004F2FD6"/>
    <w:rsid w:val="004F32F0"/>
    <w:rsid w:val="004F3349"/>
    <w:rsid w:val="004F3636"/>
    <w:rsid w:val="004F3F3F"/>
    <w:rsid w:val="004F3FBF"/>
    <w:rsid w:val="004F43D9"/>
    <w:rsid w:val="004F4674"/>
    <w:rsid w:val="004F4913"/>
    <w:rsid w:val="004F4A18"/>
    <w:rsid w:val="004F4ADB"/>
    <w:rsid w:val="004F4B6D"/>
    <w:rsid w:val="004F699F"/>
    <w:rsid w:val="005002FB"/>
    <w:rsid w:val="0050057F"/>
    <w:rsid w:val="005007C7"/>
    <w:rsid w:val="00500833"/>
    <w:rsid w:val="005008B9"/>
    <w:rsid w:val="00500BCA"/>
    <w:rsid w:val="00500E02"/>
    <w:rsid w:val="00501261"/>
    <w:rsid w:val="0050167F"/>
    <w:rsid w:val="005021BA"/>
    <w:rsid w:val="005026EB"/>
    <w:rsid w:val="005031A5"/>
    <w:rsid w:val="00503239"/>
    <w:rsid w:val="0050326F"/>
    <w:rsid w:val="0050361C"/>
    <w:rsid w:val="00504250"/>
    <w:rsid w:val="00504466"/>
    <w:rsid w:val="00504856"/>
    <w:rsid w:val="00504877"/>
    <w:rsid w:val="005048A6"/>
    <w:rsid w:val="005048B0"/>
    <w:rsid w:val="00505C1C"/>
    <w:rsid w:val="00505F56"/>
    <w:rsid w:val="00506565"/>
    <w:rsid w:val="00506983"/>
    <w:rsid w:val="0050712A"/>
    <w:rsid w:val="00507413"/>
    <w:rsid w:val="0050745D"/>
    <w:rsid w:val="0050755D"/>
    <w:rsid w:val="005078BD"/>
    <w:rsid w:val="00507C60"/>
    <w:rsid w:val="00507D4E"/>
    <w:rsid w:val="00507DC8"/>
    <w:rsid w:val="005100A2"/>
    <w:rsid w:val="0051023F"/>
    <w:rsid w:val="00510C2D"/>
    <w:rsid w:val="00510D0C"/>
    <w:rsid w:val="00510DBA"/>
    <w:rsid w:val="005111ED"/>
    <w:rsid w:val="00511A40"/>
    <w:rsid w:val="00511E12"/>
    <w:rsid w:val="005122A3"/>
    <w:rsid w:val="0051254F"/>
    <w:rsid w:val="0051270C"/>
    <w:rsid w:val="00512794"/>
    <w:rsid w:val="00512B0B"/>
    <w:rsid w:val="00512CB3"/>
    <w:rsid w:val="00512E1D"/>
    <w:rsid w:val="00512FC3"/>
    <w:rsid w:val="005135DE"/>
    <w:rsid w:val="005136B3"/>
    <w:rsid w:val="005138BD"/>
    <w:rsid w:val="00514C02"/>
    <w:rsid w:val="00514FF7"/>
    <w:rsid w:val="005150E0"/>
    <w:rsid w:val="005153D6"/>
    <w:rsid w:val="00515953"/>
    <w:rsid w:val="00516109"/>
    <w:rsid w:val="0051627E"/>
    <w:rsid w:val="00516655"/>
    <w:rsid w:val="00516950"/>
    <w:rsid w:val="005169B8"/>
    <w:rsid w:val="00516E8F"/>
    <w:rsid w:val="005177E0"/>
    <w:rsid w:val="00517902"/>
    <w:rsid w:val="00517935"/>
    <w:rsid w:val="00517B48"/>
    <w:rsid w:val="00520436"/>
    <w:rsid w:val="005205B1"/>
    <w:rsid w:val="005208ED"/>
    <w:rsid w:val="00520A35"/>
    <w:rsid w:val="00520BC6"/>
    <w:rsid w:val="0052158D"/>
    <w:rsid w:val="0052164D"/>
    <w:rsid w:val="00521907"/>
    <w:rsid w:val="00521940"/>
    <w:rsid w:val="00521CC0"/>
    <w:rsid w:val="00522113"/>
    <w:rsid w:val="005221FC"/>
    <w:rsid w:val="00522437"/>
    <w:rsid w:val="00522563"/>
    <w:rsid w:val="0052257B"/>
    <w:rsid w:val="005226A7"/>
    <w:rsid w:val="005226F3"/>
    <w:rsid w:val="00522EA3"/>
    <w:rsid w:val="00523785"/>
    <w:rsid w:val="00523F8A"/>
    <w:rsid w:val="00523FE1"/>
    <w:rsid w:val="00524122"/>
    <w:rsid w:val="00524262"/>
    <w:rsid w:val="005249D2"/>
    <w:rsid w:val="00525156"/>
    <w:rsid w:val="005252C3"/>
    <w:rsid w:val="005257E7"/>
    <w:rsid w:val="005258B7"/>
    <w:rsid w:val="00525EE2"/>
    <w:rsid w:val="0052602D"/>
    <w:rsid w:val="00526324"/>
    <w:rsid w:val="00526403"/>
    <w:rsid w:val="00526911"/>
    <w:rsid w:val="00526A17"/>
    <w:rsid w:val="00526A1C"/>
    <w:rsid w:val="00526B5D"/>
    <w:rsid w:val="00526CA7"/>
    <w:rsid w:val="005275E5"/>
    <w:rsid w:val="005302E3"/>
    <w:rsid w:val="00530B1D"/>
    <w:rsid w:val="00530DBB"/>
    <w:rsid w:val="00532408"/>
    <w:rsid w:val="005328ED"/>
    <w:rsid w:val="00532AB0"/>
    <w:rsid w:val="00532D08"/>
    <w:rsid w:val="00533943"/>
    <w:rsid w:val="00533D6F"/>
    <w:rsid w:val="00534344"/>
    <w:rsid w:val="005346DF"/>
    <w:rsid w:val="00534C2E"/>
    <w:rsid w:val="00534EEA"/>
    <w:rsid w:val="0053529F"/>
    <w:rsid w:val="00535700"/>
    <w:rsid w:val="005358A3"/>
    <w:rsid w:val="00535911"/>
    <w:rsid w:val="00535B45"/>
    <w:rsid w:val="00535DD8"/>
    <w:rsid w:val="0053601E"/>
    <w:rsid w:val="005366D1"/>
    <w:rsid w:val="00536769"/>
    <w:rsid w:val="005367BC"/>
    <w:rsid w:val="005369B1"/>
    <w:rsid w:val="00536BAB"/>
    <w:rsid w:val="00536C28"/>
    <w:rsid w:val="00536D85"/>
    <w:rsid w:val="00537286"/>
    <w:rsid w:val="005372A4"/>
    <w:rsid w:val="005379D0"/>
    <w:rsid w:val="005402AD"/>
    <w:rsid w:val="005409EE"/>
    <w:rsid w:val="00540C11"/>
    <w:rsid w:val="005412D8"/>
    <w:rsid w:val="00541467"/>
    <w:rsid w:val="00541D38"/>
    <w:rsid w:val="00541EB5"/>
    <w:rsid w:val="005429B7"/>
    <w:rsid w:val="00542B44"/>
    <w:rsid w:val="00542E0B"/>
    <w:rsid w:val="00542EDF"/>
    <w:rsid w:val="00543562"/>
    <w:rsid w:val="00543C53"/>
    <w:rsid w:val="00543C73"/>
    <w:rsid w:val="00544A6E"/>
    <w:rsid w:val="00544C6F"/>
    <w:rsid w:val="00544FB5"/>
    <w:rsid w:val="005450D7"/>
    <w:rsid w:val="00545352"/>
    <w:rsid w:val="005457F3"/>
    <w:rsid w:val="0054580B"/>
    <w:rsid w:val="00545E7A"/>
    <w:rsid w:val="00545F64"/>
    <w:rsid w:val="005460F5"/>
    <w:rsid w:val="0054651F"/>
    <w:rsid w:val="00546586"/>
    <w:rsid w:val="00546D28"/>
    <w:rsid w:val="00546E9A"/>
    <w:rsid w:val="0054714D"/>
    <w:rsid w:val="00547186"/>
    <w:rsid w:val="005504DC"/>
    <w:rsid w:val="005508B6"/>
    <w:rsid w:val="00550E7C"/>
    <w:rsid w:val="00551155"/>
    <w:rsid w:val="0055124E"/>
    <w:rsid w:val="005514B9"/>
    <w:rsid w:val="00551584"/>
    <w:rsid w:val="00551C1D"/>
    <w:rsid w:val="00551D44"/>
    <w:rsid w:val="00551DF9"/>
    <w:rsid w:val="00552AB3"/>
    <w:rsid w:val="00552EF4"/>
    <w:rsid w:val="0055324C"/>
    <w:rsid w:val="00553B30"/>
    <w:rsid w:val="00553E1A"/>
    <w:rsid w:val="005544E5"/>
    <w:rsid w:val="0055451D"/>
    <w:rsid w:val="005545BF"/>
    <w:rsid w:val="00554760"/>
    <w:rsid w:val="00556557"/>
    <w:rsid w:val="00556FE5"/>
    <w:rsid w:val="00557FAE"/>
    <w:rsid w:val="005606EA"/>
    <w:rsid w:val="005607E9"/>
    <w:rsid w:val="00560E14"/>
    <w:rsid w:val="00562315"/>
    <w:rsid w:val="0056242D"/>
    <w:rsid w:val="00562AD5"/>
    <w:rsid w:val="00562DBC"/>
    <w:rsid w:val="005633CF"/>
    <w:rsid w:val="00563706"/>
    <w:rsid w:val="005645AD"/>
    <w:rsid w:val="0056537C"/>
    <w:rsid w:val="00565740"/>
    <w:rsid w:val="00565797"/>
    <w:rsid w:val="00565CED"/>
    <w:rsid w:val="00565E97"/>
    <w:rsid w:val="00566550"/>
    <w:rsid w:val="005665EA"/>
    <w:rsid w:val="00566603"/>
    <w:rsid w:val="00566B66"/>
    <w:rsid w:val="00566F79"/>
    <w:rsid w:val="00567A58"/>
    <w:rsid w:val="005707B2"/>
    <w:rsid w:val="00570ACC"/>
    <w:rsid w:val="00570F4D"/>
    <w:rsid w:val="00571020"/>
    <w:rsid w:val="005710E6"/>
    <w:rsid w:val="00571104"/>
    <w:rsid w:val="0057160C"/>
    <w:rsid w:val="00572C52"/>
    <w:rsid w:val="00572FA8"/>
    <w:rsid w:val="00573679"/>
    <w:rsid w:val="005737F5"/>
    <w:rsid w:val="00573820"/>
    <w:rsid w:val="005755EC"/>
    <w:rsid w:val="00575934"/>
    <w:rsid w:val="00575BA7"/>
    <w:rsid w:val="00575C4B"/>
    <w:rsid w:val="00575CCA"/>
    <w:rsid w:val="00575D4C"/>
    <w:rsid w:val="00575F71"/>
    <w:rsid w:val="005760E0"/>
    <w:rsid w:val="005762E1"/>
    <w:rsid w:val="00576493"/>
    <w:rsid w:val="00576FBE"/>
    <w:rsid w:val="005773B6"/>
    <w:rsid w:val="00577473"/>
    <w:rsid w:val="00577581"/>
    <w:rsid w:val="00580301"/>
    <w:rsid w:val="00580A95"/>
    <w:rsid w:val="00580D36"/>
    <w:rsid w:val="00581BE4"/>
    <w:rsid w:val="0058217C"/>
    <w:rsid w:val="005825E6"/>
    <w:rsid w:val="00582671"/>
    <w:rsid w:val="005826EC"/>
    <w:rsid w:val="00582ECF"/>
    <w:rsid w:val="00583618"/>
    <w:rsid w:val="00583642"/>
    <w:rsid w:val="00583D0B"/>
    <w:rsid w:val="005844A3"/>
    <w:rsid w:val="005847D3"/>
    <w:rsid w:val="00584856"/>
    <w:rsid w:val="00584DD4"/>
    <w:rsid w:val="005853CF"/>
    <w:rsid w:val="0058579C"/>
    <w:rsid w:val="005863ED"/>
    <w:rsid w:val="00587013"/>
    <w:rsid w:val="00587048"/>
    <w:rsid w:val="005871CC"/>
    <w:rsid w:val="00587B2C"/>
    <w:rsid w:val="00587D5D"/>
    <w:rsid w:val="00587DEC"/>
    <w:rsid w:val="00587E92"/>
    <w:rsid w:val="0059137B"/>
    <w:rsid w:val="005915E9"/>
    <w:rsid w:val="00591653"/>
    <w:rsid w:val="00591A7F"/>
    <w:rsid w:val="00591C58"/>
    <w:rsid w:val="00591FB5"/>
    <w:rsid w:val="005920F7"/>
    <w:rsid w:val="0059231F"/>
    <w:rsid w:val="005923A3"/>
    <w:rsid w:val="0059261F"/>
    <w:rsid w:val="00592668"/>
    <w:rsid w:val="00592C22"/>
    <w:rsid w:val="0059313C"/>
    <w:rsid w:val="00593183"/>
    <w:rsid w:val="00593184"/>
    <w:rsid w:val="00593374"/>
    <w:rsid w:val="00593793"/>
    <w:rsid w:val="00593A44"/>
    <w:rsid w:val="00593C6C"/>
    <w:rsid w:val="00594178"/>
    <w:rsid w:val="0059425D"/>
    <w:rsid w:val="005942CC"/>
    <w:rsid w:val="00594634"/>
    <w:rsid w:val="00594704"/>
    <w:rsid w:val="00594F9B"/>
    <w:rsid w:val="0059515A"/>
    <w:rsid w:val="0059554E"/>
    <w:rsid w:val="005955FA"/>
    <w:rsid w:val="00595C4B"/>
    <w:rsid w:val="0059650F"/>
    <w:rsid w:val="00596F4B"/>
    <w:rsid w:val="005976D1"/>
    <w:rsid w:val="00597719"/>
    <w:rsid w:val="00597EBD"/>
    <w:rsid w:val="005A0390"/>
    <w:rsid w:val="005A08D6"/>
    <w:rsid w:val="005A0FC7"/>
    <w:rsid w:val="005A118F"/>
    <w:rsid w:val="005A137C"/>
    <w:rsid w:val="005A1DF9"/>
    <w:rsid w:val="005A1EB6"/>
    <w:rsid w:val="005A26C2"/>
    <w:rsid w:val="005A2CC1"/>
    <w:rsid w:val="005A2EA4"/>
    <w:rsid w:val="005A30DE"/>
    <w:rsid w:val="005A3284"/>
    <w:rsid w:val="005A34F4"/>
    <w:rsid w:val="005A3671"/>
    <w:rsid w:val="005A38E1"/>
    <w:rsid w:val="005A3A82"/>
    <w:rsid w:val="005A4444"/>
    <w:rsid w:val="005A4529"/>
    <w:rsid w:val="005A4719"/>
    <w:rsid w:val="005A4799"/>
    <w:rsid w:val="005A51B6"/>
    <w:rsid w:val="005A54C0"/>
    <w:rsid w:val="005A55F9"/>
    <w:rsid w:val="005A5752"/>
    <w:rsid w:val="005A6160"/>
    <w:rsid w:val="005A6F06"/>
    <w:rsid w:val="005A75B5"/>
    <w:rsid w:val="005A760B"/>
    <w:rsid w:val="005A7718"/>
    <w:rsid w:val="005A7C7C"/>
    <w:rsid w:val="005A7EF8"/>
    <w:rsid w:val="005A7F21"/>
    <w:rsid w:val="005B0018"/>
    <w:rsid w:val="005B00F5"/>
    <w:rsid w:val="005B06A5"/>
    <w:rsid w:val="005B0729"/>
    <w:rsid w:val="005B0829"/>
    <w:rsid w:val="005B0933"/>
    <w:rsid w:val="005B0AB3"/>
    <w:rsid w:val="005B116C"/>
    <w:rsid w:val="005B1BCC"/>
    <w:rsid w:val="005B1ED5"/>
    <w:rsid w:val="005B2153"/>
    <w:rsid w:val="005B21D7"/>
    <w:rsid w:val="005B225C"/>
    <w:rsid w:val="005B23AA"/>
    <w:rsid w:val="005B2657"/>
    <w:rsid w:val="005B29B0"/>
    <w:rsid w:val="005B3252"/>
    <w:rsid w:val="005B354F"/>
    <w:rsid w:val="005B39F6"/>
    <w:rsid w:val="005B3E4A"/>
    <w:rsid w:val="005B4184"/>
    <w:rsid w:val="005B41FC"/>
    <w:rsid w:val="005B43F5"/>
    <w:rsid w:val="005B4DDF"/>
    <w:rsid w:val="005B5050"/>
    <w:rsid w:val="005B5510"/>
    <w:rsid w:val="005B580C"/>
    <w:rsid w:val="005B5CE5"/>
    <w:rsid w:val="005B5DDA"/>
    <w:rsid w:val="005B6339"/>
    <w:rsid w:val="005B65F7"/>
    <w:rsid w:val="005B68A0"/>
    <w:rsid w:val="005B7313"/>
    <w:rsid w:val="005C01C8"/>
    <w:rsid w:val="005C02FA"/>
    <w:rsid w:val="005C0598"/>
    <w:rsid w:val="005C08F7"/>
    <w:rsid w:val="005C0A28"/>
    <w:rsid w:val="005C0C3F"/>
    <w:rsid w:val="005C0D43"/>
    <w:rsid w:val="005C0E93"/>
    <w:rsid w:val="005C1271"/>
    <w:rsid w:val="005C1FB9"/>
    <w:rsid w:val="005C2177"/>
    <w:rsid w:val="005C2551"/>
    <w:rsid w:val="005C2794"/>
    <w:rsid w:val="005C2CA8"/>
    <w:rsid w:val="005C2CE4"/>
    <w:rsid w:val="005C2F30"/>
    <w:rsid w:val="005C3353"/>
    <w:rsid w:val="005C368C"/>
    <w:rsid w:val="005C3B94"/>
    <w:rsid w:val="005C3E3F"/>
    <w:rsid w:val="005C4754"/>
    <w:rsid w:val="005C4C2C"/>
    <w:rsid w:val="005C5299"/>
    <w:rsid w:val="005C5BEF"/>
    <w:rsid w:val="005C5DE2"/>
    <w:rsid w:val="005C63D6"/>
    <w:rsid w:val="005C719E"/>
    <w:rsid w:val="005C76B2"/>
    <w:rsid w:val="005D00A1"/>
    <w:rsid w:val="005D0320"/>
    <w:rsid w:val="005D058E"/>
    <w:rsid w:val="005D0A1C"/>
    <w:rsid w:val="005D22A3"/>
    <w:rsid w:val="005D2FA8"/>
    <w:rsid w:val="005D3377"/>
    <w:rsid w:val="005D357C"/>
    <w:rsid w:val="005D3727"/>
    <w:rsid w:val="005D3CEC"/>
    <w:rsid w:val="005D3E59"/>
    <w:rsid w:val="005D3F42"/>
    <w:rsid w:val="005D46AD"/>
    <w:rsid w:val="005D476D"/>
    <w:rsid w:val="005D485D"/>
    <w:rsid w:val="005D4954"/>
    <w:rsid w:val="005D4AD6"/>
    <w:rsid w:val="005D4C45"/>
    <w:rsid w:val="005D4C4E"/>
    <w:rsid w:val="005D5147"/>
    <w:rsid w:val="005D51D9"/>
    <w:rsid w:val="005D52EC"/>
    <w:rsid w:val="005D56E4"/>
    <w:rsid w:val="005D5736"/>
    <w:rsid w:val="005D57CB"/>
    <w:rsid w:val="005D59ED"/>
    <w:rsid w:val="005D5D20"/>
    <w:rsid w:val="005D64A9"/>
    <w:rsid w:val="005D691A"/>
    <w:rsid w:val="005D691B"/>
    <w:rsid w:val="005D7764"/>
    <w:rsid w:val="005D79D2"/>
    <w:rsid w:val="005D7C1C"/>
    <w:rsid w:val="005D7C98"/>
    <w:rsid w:val="005D7F1A"/>
    <w:rsid w:val="005E0192"/>
    <w:rsid w:val="005E0A9A"/>
    <w:rsid w:val="005E0DD3"/>
    <w:rsid w:val="005E1B12"/>
    <w:rsid w:val="005E1E31"/>
    <w:rsid w:val="005E1F37"/>
    <w:rsid w:val="005E231F"/>
    <w:rsid w:val="005E2A09"/>
    <w:rsid w:val="005E2A28"/>
    <w:rsid w:val="005E2FFE"/>
    <w:rsid w:val="005E3652"/>
    <w:rsid w:val="005E3FC0"/>
    <w:rsid w:val="005E4798"/>
    <w:rsid w:val="005E4A21"/>
    <w:rsid w:val="005E4C01"/>
    <w:rsid w:val="005E4E41"/>
    <w:rsid w:val="005E56AE"/>
    <w:rsid w:val="005E57AE"/>
    <w:rsid w:val="005E64F0"/>
    <w:rsid w:val="005E6DAB"/>
    <w:rsid w:val="005E7271"/>
    <w:rsid w:val="005E76A4"/>
    <w:rsid w:val="005E7928"/>
    <w:rsid w:val="005E7931"/>
    <w:rsid w:val="005E79F9"/>
    <w:rsid w:val="005F00DF"/>
    <w:rsid w:val="005F07CE"/>
    <w:rsid w:val="005F0D2B"/>
    <w:rsid w:val="005F15A3"/>
    <w:rsid w:val="005F1A8C"/>
    <w:rsid w:val="005F1F91"/>
    <w:rsid w:val="005F247C"/>
    <w:rsid w:val="005F2B9C"/>
    <w:rsid w:val="005F2F33"/>
    <w:rsid w:val="005F3609"/>
    <w:rsid w:val="005F3709"/>
    <w:rsid w:val="005F37BF"/>
    <w:rsid w:val="005F3EC5"/>
    <w:rsid w:val="005F3F61"/>
    <w:rsid w:val="005F4B85"/>
    <w:rsid w:val="005F5144"/>
    <w:rsid w:val="005F5493"/>
    <w:rsid w:val="005F556B"/>
    <w:rsid w:val="005F59C0"/>
    <w:rsid w:val="005F5AAD"/>
    <w:rsid w:val="005F5CDD"/>
    <w:rsid w:val="005F5D22"/>
    <w:rsid w:val="005F616B"/>
    <w:rsid w:val="005F66EE"/>
    <w:rsid w:val="005F7063"/>
    <w:rsid w:val="005F7292"/>
    <w:rsid w:val="005F7454"/>
    <w:rsid w:val="005F750F"/>
    <w:rsid w:val="005F797C"/>
    <w:rsid w:val="005F7F57"/>
    <w:rsid w:val="00600562"/>
    <w:rsid w:val="006005E4"/>
    <w:rsid w:val="00600912"/>
    <w:rsid w:val="0060137F"/>
    <w:rsid w:val="0060179C"/>
    <w:rsid w:val="00601812"/>
    <w:rsid w:val="00601CD4"/>
    <w:rsid w:val="0060200B"/>
    <w:rsid w:val="0060213B"/>
    <w:rsid w:val="0060245E"/>
    <w:rsid w:val="0060246D"/>
    <w:rsid w:val="006025D0"/>
    <w:rsid w:val="00602653"/>
    <w:rsid w:val="00602F94"/>
    <w:rsid w:val="00603002"/>
    <w:rsid w:val="00603038"/>
    <w:rsid w:val="00603348"/>
    <w:rsid w:val="00603553"/>
    <w:rsid w:val="006044E3"/>
    <w:rsid w:val="0060458A"/>
    <w:rsid w:val="00605132"/>
    <w:rsid w:val="00605158"/>
    <w:rsid w:val="006052C5"/>
    <w:rsid w:val="006055CB"/>
    <w:rsid w:val="006068D6"/>
    <w:rsid w:val="00606F33"/>
    <w:rsid w:val="006078A2"/>
    <w:rsid w:val="00610011"/>
    <w:rsid w:val="00610019"/>
    <w:rsid w:val="006104F0"/>
    <w:rsid w:val="006107D0"/>
    <w:rsid w:val="006109CB"/>
    <w:rsid w:val="006113DC"/>
    <w:rsid w:val="0061155F"/>
    <w:rsid w:val="00611A4C"/>
    <w:rsid w:val="00611DAF"/>
    <w:rsid w:val="00612518"/>
    <w:rsid w:val="006125D0"/>
    <w:rsid w:val="00612807"/>
    <w:rsid w:val="006131B4"/>
    <w:rsid w:val="00613384"/>
    <w:rsid w:val="00613A29"/>
    <w:rsid w:val="00613B3F"/>
    <w:rsid w:val="00614018"/>
    <w:rsid w:val="006147AC"/>
    <w:rsid w:val="00614F5D"/>
    <w:rsid w:val="006154DB"/>
    <w:rsid w:val="00615841"/>
    <w:rsid w:val="006158FA"/>
    <w:rsid w:val="00615D30"/>
    <w:rsid w:val="00616796"/>
    <w:rsid w:val="00616813"/>
    <w:rsid w:val="00616CD0"/>
    <w:rsid w:val="00617587"/>
    <w:rsid w:val="00617743"/>
    <w:rsid w:val="00617A61"/>
    <w:rsid w:val="00617CC0"/>
    <w:rsid w:val="00617F06"/>
    <w:rsid w:val="0062022C"/>
    <w:rsid w:val="00620378"/>
    <w:rsid w:val="00620F1F"/>
    <w:rsid w:val="00620F7E"/>
    <w:rsid w:val="00621A0F"/>
    <w:rsid w:val="00621C08"/>
    <w:rsid w:val="00622766"/>
    <w:rsid w:val="00622812"/>
    <w:rsid w:val="006229AC"/>
    <w:rsid w:val="00622AEF"/>
    <w:rsid w:val="00622D65"/>
    <w:rsid w:val="00622DBE"/>
    <w:rsid w:val="00623106"/>
    <w:rsid w:val="006232F2"/>
    <w:rsid w:val="006234AC"/>
    <w:rsid w:val="00623592"/>
    <w:rsid w:val="006235CA"/>
    <w:rsid w:val="0062383F"/>
    <w:rsid w:val="006239B6"/>
    <w:rsid w:val="00623C09"/>
    <w:rsid w:val="006240EE"/>
    <w:rsid w:val="0062439E"/>
    <w:rsid w:val="00624709"/>
    <w:rsid w:val="006248DD"/>
    <w:rsid w:val="006249DC"/>
    <w:rsid w:val="00624C7B"/>
    <w:rsid w:val="00624E98"/>
    <w:rsid w:val="00625740"/>
    <w:rsid w:val="00626D41"/>
    <w:rsid w:val="00626D63"/>
    <w:rsid w:val="00627308"/>
    <w:rsid w:val="00627A92"/>
    <w:rsid w:val="00627D11"/>
    <w:rsid w:val="00627D6A"/>
    <w:rsid w:val="00630707"/>
    <w:rsid w:val="006307CF"/>
    <w:rsid w:val="00630C1B"/>
    <w:rsid w:val="00630DA6"/>
    <w:rsid w:val="00631D9B"/>
    <w:rsid w:val="00632253"/>
    <w:rsid w:val="00632278"/>
    <w:rsid w:val="006323E5"/>
    <w:rsid w:val="00632771"/>
    <w:rsid w:val="00632ABA"/>
    <w:rsid w:val="006333DF"/>
    <w:rsid w:val="0063345A"/>
    <w:rsid w:val="00633791"/>
    <w:rsid w:val="006339F0"/>
    <w:rsid w:val="00633C16"/>
    <w:rsid w:val="00633CF1"/>
    <w:rsid w:val="00633F4A"/>
    <w:rsid w:val="00634332"/>
    <w:rsid w:val="0063510F"/>
    <w:rsid w:val="006352E8"/>
    <w:rsid w:val="00635864"/>
    <w:rsid w:val="00635B6D"/>
    <w:rsid w:val="00635EFC"/>
    <w:rsid w:val="0063644D"/>
    <w:rsid w:val="00636733"/>
    <w:rsid w:val="006369AC"/>
    <w:rsid w:val="00636A2D"/>
    <w:rsid w:val="00636A4B"/>
    <w:rsid w:val="00636C82"/>
    <w:rsid w:val="00636F1F"/>
    <w:rsid w:val="00636F35"/>
    <w:rsid w:val="00636FA2"/>
    <w:rsid w:val="00636FA5"/>
    <w:rsid w:val="006371E3"/>
    <w:rsid w:val="006378C6"/>
    <w:rsid w:val="00637BB4"/>
    <w:rsid w:val="00637ECF"/>
    <w:rsid w:val="0064021C"/>
    <w:rsid w:val="00640327"/>
    <w:rsid w:val="0064169B"/>
    <w:rsid w:val="00641799"/>
    <w:rsid w:val="00641EF5"/>
    <w:rsid w:val="00642027"/>
    <w:rsid w:val="0064228B"/>
    <w:rsid w:val="00642F67"/>
    <w:rsid w:val="00642F74"/>
    <w:rsid w:val="0064305A"/>
    <w:rsid w:val="00643288"/>
    <w:rsid w:val="00643D20"/>
    <w:rsid w:val="00643F01"/>
    <w:rsid w:val="00643F53"/>
    <w:rsid w:val="006444AB"/>
    <w:rsid w:val="006446CD"/>
    <w:rsid w:val="006451FD"/>
    <w:rsid w:val="006452A6"/>
    <w:rsid w:val="0064564E"/>
    <w:rsid w:val="00646215"/>
    <w:rsid w:val="00646434"/>
    <w:rsid w:val="0064701D"/>
    <w:rsid w:val="00647534"/>
    <w:rsid w:val="006501A3"/>
    <w:rsid w:val="00650628"/>
    <w:rsid w:val="00650698"/>
    <w:rsid w:val="00650782"/>
    <w:rsid w:val="00650A26"/>
    <w:rsid w:val="006515A5"/>
    <w:rsid w:val="0065164F"/>
    <w:rsid w:val="00651B7C"/>
    <w:rsid w:val="00651F3A"/>
    <w:rsid w:val="006522B4"/>
    <w:rsid w:val="006529FC"/>
    <w:rsid w:val="00652BC9"/>
    <w:rsid w:val="00653503"/>
    <w:rsid w:val="00653B08"/>
    <w:rsid w:val="00653D37"/>
    <w:rsid w:val="00653DFD"/>
    <w:rsid w:val="00653F48"/>
    <w:rsid w:val="00653FCC"/>
    <w:rsid w:val="0065439D"/>
    <w:rsid w:val="00655235"/>
    <w:rsid w:val="00655236"/>
    <w:rsid w:val="00655564"/>
    <w:rsid w:val="00655919"/>
    <w:rsid w:val="00655B1C"/>
    <w:rsid w:val="00655C75"/>
    <w:rsid w:val="00655FCC"/>
    <w:rsid w:val="0065663E"/>
    <w:rsid w:val="00656818"/>
    <w:rsid w:val="00656AA5"/>
    <w:rsid w:val="00656B74"/>
    <w:rsid w:val="00656FCD"/>
    <w:rsid w:val="006570D2"/>
    <w:rsid w:val="006573FB"/>
    <w:rsid w:val="00657648"/>
    <w:rsid w:val="00657BCD"/>
    <w:rsid w:val="00657F3B"/>
    <w:rsid w:val="006603E4"/>
    <w:rsid w:val="00660F52"/>
    <w:rsid w:val="00661699"/>
    <w:rsid w:val="00662518"/>
    <w:rsid w:val="0066282C"/>
    <w:rsid w:val="006634F4"/>
    <w:rsid w:val="00663938"/>
    <w:rsid w:val="00663AD1"/>
    <w:rsid w:val="00663CE4"/>
    <w:rsid w:val="006642E2"/>
    <w:rsid w:val="00664365"/>
    <w:rsid w:val="00665050"/>
    <w:rsid w:val="006656A7"/>
    <w:rsid w:val="00665806"/>
    <w:rsid w:val="00665A6A"/>
    <w:rsid w:val="00665D89"/>
    <w:rsid w:val="00665EA0"/>
    <w:rsid w:val="00666137"/>
    <w:rsid w:val="00666631"/>
    <w:rsid w:val="0066668E"/>
    <w:rsid w:val="006669E3"/>
    <w:rsid w:val="00667299"/>
    <w:rsid w:val="00667512"/>
    <w:rsid w:val="00667FE6"/>
    <w:rsid w:val="00670140"/>
    <w:rsid w:val="0067037E"/>
    <w:rsid w:val="006703C4"/>
    <w:rsid w:val="00670475"/>
    <w:rsid w:val="006715FE"/>
    <w:rsid w:val="00671AD1"/>
    <w:rsid w:val="00672535"/>
    <w:rsid w:val="00672573"/>
    <w:rsid w:val="00672850"/>
    <w:rsid w:val="00672AAD"/>
    <w:rsid w:val="00672D40"/>
    <w:rsid w:val="00672EA6"/>
    <w:rsid w:val="00673032"/>
    <w:rsid w:val="006730E4"/>
    <w:rsid w:val="006735F4"/>
    <w:rsid w:val="006735F8"/>
    <w:rsid w:val="00673645"/>
    <w:rsid w:val="006738E6"/>
    <w:rsid w:val="00673ACD"/>
    <w:rsid w:val="00673CB6"/>
    <w:rsid w:val="00673FE9"/>
    <w:rsid w:val="006745AF"/>
    <w:rsid w:val="00674B6E"/>
    <w:rsid w:val="00675772"/>
    <w:rsid w:val="00675882"/>
    <w:rsid w:val="00675D2B"/>
    <w:rsid w:val="006765E0"/>
    <w:rsid w:val="006769F0"/>
    <w:rsid w:val="00676EE6"/>
    <w:rsid w:val="00677128"/>
    <w:rsid w:val="0067720F"/>
    <w:rsid w:val="0067739B"/>
    <w:rsid w:val="0067794C"/>
    <w:rsid w:val="00677ACC"/>
    <w:rsid w:val="00677D99"/>
    <w:rsid w:val="00677FB2"/>
    <w:rsid w:val="006800D8"/>
    <w:rsid w:val="00680652"/>
    <w:rsid w:val="006810D9"/>
    <w:rsid w:val="006816D8"/>
    <w:rsid w:val="00681897"/>
    <w:rsid w:val="00681ACA"/>
    <w:rsid w:val="00681E15"/>
    <w:rsid w:val="006830E1"/>
    <w:rsid w:val="00683187"/>
    <w:rsid w:val="00683345"/>
    <w:rsid w:val="0068365F"/>
    <w:rsid w:val="00683837"/>
    <w:rsid w:val="00683E04"/>
    <w:rsid w:val="00683F89"/>
    <w:rsid w:val="00684318"/>
    <w:rsid w:val="00684339"/>
    <w:rsid w:val="0068435E"/>
    <w:rsid w:val="0068437A"/>
    <w:rsid w:val="0068450F"/>
    <w:rsid w:val="00684744"/>
    <w:rsid w:val="00684BB1"/>
    <w:rsid w:val="00685581"/>
    <w:rsid w:val="00686480"/>
    <w:rsid w:val="00686694"/>
    <w:rsid w:val="00686C4A"/>
    <w:rsid w:val="00686E7C"/>
    <w:rsid w:val="00686FE7"/>
    <w:rsid w:val="0068714B"/>
    <w:rsid w:val="00687782"/>
    <w:rsid w:val="00687A79"/>
    <w:rsid w:val="00687BBB"/>
    <w:rsid w:val="00687C4B"/>
    <w:rsid w:val="00687FCA"/>
    <w:rsid w:val="0069003E"/>
    <w:rsid w:val="00690305"/>
    <w:rsid w:val="00690343"/>
    <w:rsid w:val="00690528"/>
    <w:rsid w:val="00690950"/>
    <w:rsid w:val="00690C27"/>
    <w:rsid w:val="00690CA8"/>
    <w:rsid w:val="00690FBE"/>
    <w:rsid w:val="00691569"/>
    <w:rsid w:val="006917EF"/>
    <w:rsid w:val="0069198B"/>
    <w:rsid w:val="00691F7C"/>
    <w:rsid w:val="00692271"/>
    <w:rsid w:val="00692338"/>
    <w:rsid w:val="006929BD"/>
    <w:rsid w:val="00692DB2"/>
    <w:rsid w:val="00692E3D"/>
    <w:rsid w:val="00693011"/>
    <w:rsid w:val="006936B0"/>
    <w:rsid w:val="006939F5"/>
    <w:rsid w:val="00693C5F"/>
    <w:rsid w:val="00693D8C"/>
    <w:rsid w:val="00693EF6"/>
    <w:rsid w:val="006945BB"/>
    <w:rsid w:val="006946D9"/>
    <w:rsid w:val="006947C7"/>
    <w:rsid w:val="00696009"/>
    <w:rsid w:val="0069608C"/>
    <w:rsid w:val="006962B2"/>
    <w:rsid w:val="0069630D"/>
    <w:rsid w:val="0069695D"/>
    <w:rsid w:val="00696B23"/>
    <w:rsid w:val="00696B29"/>
    <w:rsid w:val="006979ED"/>
    <w:rsid w:val="00697E3B"/>
    <w:rsid w:val="006A0037"/>
    <w:rsid w:val="006A04CD"/>
    <w:rsid w:val="006A0BFD"/>
    <w:rsid w:val="006A16C2"/>
    <w:rsid w:val="006A1C9C"/>
    <w:rsid w:val="006A28B8"/>
    <w:rsid w:val="006A28C5"/>
    <w:rsid w:val="006A2E4C"/>
    <w:rsid w:val="006A3284"/>
    <w:rsid w:val="006A3AB3"/>
    <w:rsid w:val="006A3AD1"/>
    <w:rsid w:val="006A3FEB"/>
    <w:rsid w:val="006A4332"/>
    <w:rsid w:val="006A435B"/>
    <w:rsid w:val="006A4AA7"/>
    <w:rsid w:val="006A51AF"/>
    <w:rsid w:val="006A5483"/>
    <w:rsid w:val="006A56D7"/>
    <w:rsid w:val="006A57DD"/>
    <w:rsid w:val="006A5DBA"/>
    <w:rsid w:val="006A5DF7"/>
    <w:rsid w:val="006A5F7B"/>
    <w:rsid w:val="006A6279"/>
    <w:rsid w:val="006A6498"/>
    <w:rsid w:val="006A6524"/>
    <w:rsid w:val="006A68BD"/>
    <w:rsid w:val="006A6FA5"/>
    <w:rsid w:val="006A738A"/>
    <w:rsid w:val="006A74FE"/>
    <w:rsid w:val="006A7586"/>
    <w:rsid w:val="006A7EEF"/>
    <w:rsid w:val="006B000A"/>
    <w:rsid w:val="006B02DF"/>
    <w:rsid w:val="006B0754"/>
    <w:rsid w:val="006B0994"/>
    <w:rsid w:val="006B0C93"/>
    <w:rsid w:val="006B17E6"/>
    <w:rsid w:val="006B1EB5"/>
    <w:rsid w:val="006B1EF7"/>
    <w:rsid w:val="006B2501"/>
    <w:rsid w:val="006B2588"/>
    <w:rsid w:val="006B26E0"/>
    <w:rsid w:val="006B280F"/>
    <w:rsid w:val="006B32E8"/>
    <w:rsid w:val="006B386E"/>
    <w:rsid w:val="006B3B77"/>
    <w:rsid w:val="006B3B7F"/>
    <w:rsid w:val="006B3B8B"/>
    <w:rsid w:val="006B42BF"/>
    <w:rsid w:val="006B4A51"/>
    <w:rsid w:val="006B5037"/>
    <w:rsid w:val="006B5053"/>
    <w:rsid w:val="006B508F"/>
    <w:rsid w:val="006B5E1E"/>
    <w:rsid w:val="006B601F"/>
    <w:rsid w:val="006B64D4"/>
    <w:rsid w:val="006B6CA2"/>
    <w:rsid w:val="006B739A"/>
    <w:rsid w:val="006B74FF"/>
    <w:rsid w:val="006B76FA"/>
    <w:rsid w:val="006B7B57"/>
    <w:rsid w:val="006B7C83"/>
    <w:rsid w:val="006B7E72"/>
    <w:rsid w:val="006B7EFC"/>
    <w:rsid w:val="006C0D96"/>
    <w:rsid w:val="006C14BF"/>
    <w:rsid w:val="006C178E"/>
    <w:rsid w:val="006C1D37"/>
    <w:rsid w:val="006C1FEE"/>
    <w:rsid w:val="006C2174"/>
    <w:rsid w:val="006C2836"/>
    <w:rsid w:val="006C2878"/>
    <w:rsid w:val="006C2982"/>
    <w:rsid w:val="006C2AEA"/>
    <w:rsid w:val="006C327A"/>
    <w:rsid w:val="006C3804"/>
    <w:rsid w:val="006C3A4B"/>
    <w:rsid w:val="006C3A9F"/>
    <w:rsid w:val="006C3AC4"/>
    <w:rsid w:val="006C4163"/>
    <w:rsid w:val="006C4455"/>
    <w:rsid w:val="006C4875"/>
    <w:rsid w:val="006C53C8"/>
    <w:rsid w:val="006C5A8D"/>
    <w:rsid w:val="006C5B93"/>
    <w:rsid w:val="006C6274"/>
    <w:rsid w:val="006C6278"/>
    <w:rsid w:val="006C6C67"/>
    <w:rsid w:val="006C7017"/>
    <w:rsid w:val="006C704E"/>
    <w:rsid w:val="006C7302"/>
    <w:rsid w:val="006C7578"/>
    <w:rsid w:val="006C7BE4"/>
    <w:rsid w:val="006C7D07"/>
    <w:rsid w:val="006D0105"/>
    <w:rsid w:val="006D05C5"/>
    <w:rsid w:val="006D0749"/>
    <w:rsid w:val="006D0B20"/>
    <w:rsid w:val="006D0CE3"/>
    <w:rsid w:val="006D17E6"/>
    <w:rsid w:val="006D1B0A"/>
    <w:rsid w:val="006D1F95"/>
    <w:rsid w:val="006D27C3"/>
    <w:rsid w:val="006D29C1"/>
    <w:rsid w:val="006D2E37"/>
    <w:rsid w:val="006D329B"/>
    <w:rsid w:val="006D336F"/>
    <w:rsid w:val="006D38B9"/>
    <w:rsid w:val="006D38FB"/>
    <w:rsid w:val="006D3E05"/>
    <w:rsid w:val="006D3F98"/>
    <w:rsid w:val="006D4004"/>
    <w:rsid w:val="006D45DF"/>
    <w:rsid w:val="006D4A59"/>
    <w:rsid w:val="006D4B8A"/>
    <w:rsid w:val="006D4FD4"/>
    <w:rsid w:val="006D50A5"/>
    <w:rsid w:val="006D50D7"/>
    <w:rsid w:val="006D5330"/>
    <w:rsid w:val="006D5C18"/>
    <w:rsid w:val="006D5C31"/>
    <w:rsid w:val="006D60BE"/>
    <w:rsid w:val="006D6161"/>
    <w:rsid w:val="006D68AB"/>
    <w:rsid w:val="006D6A5D"/>
    <w:rsid w:val="006D6AA6"/>
    <w:rsid w:val="006D6AEB"/>
    <w:rsid w:val="006D6D4F"/>
    <w:rsid w:val="006D6E1F"/>
    <w:rsid w:val="006D7482"/>
    <w:rsid w:val="006D7CD1"/>
    <w:rsid w:val="006E0082"/>
    <w:rsid w:val="006E07CB"/>
    <w:rsid w:val="006E0E97"/>
    <w:rsid w:val="006E0EC7"/>
    <w:rsid w:val="006E0F59"/>
    <w:rsid w:val="006E14F6"/>
    <w:rsid w:val="006E187B"/>
    <w:rsid w:val="006E19AA"/>
    <w:rsid w:val="006E1E5D"/>
    <w:rsid w:val="006E30EC"/>
    <w:rsid w:val="006E337D"/>
    <w:rsid w:val="006E370C"/>
    <w:rsid w:val="006E3941"/>
    <w:rsid w:val="006E3B61"/>
    <w:rsid w:val="006E3FBF"/>
    <w:rsid w:val="006E45DE"/>
    <w:rsid w:val="006E4A0F"/>
    <w:rsid w:val="006E53B7"/>
    <w:rsid w:val="006E54D2"/>
    <w:rsid w:val="006E6596"/>
    <w:rsid w:val="006E6829"/>
    <w:rsid w:val="006E6C31"/>
    <w:rsid w:val="006E6C34"/>
    <w:rsid w:val="006E7520"/>
    <w:rsid w:val="006E76DA"/>
    <w:rsid w:val="006E7BFD"/>
    <w:rsid w:val="006E7C7D"/>
    <w:rsid w:val="006E7CB7"/>
    <w:rsid w:val="006E7D5C"/>
    <w:rsid w:val="006F012C"/>
    <w:rsid w:val="006F05DA"/>
    <w:rsid w:val="006F07CC"/>
    <w:rsid w:val="006F0B40"/>
    <w:rsid w:val="006F0B4C"/>
    <w:rsid w:val="006F0C82"/>
    <w:rsid w:val="006F1E1B"/>
    <w:rsid w:val="006F1E24"/>
    <w:rsid w:val="006F204B"/>
    <w:rsid w:val="006F20D6"/>
    <w:rsid w:val="006F233D"/>
    <w:rsid w:val="006F2AFE"/>
    <w:rsid w:val="006F3282"/>
    <w:rsid w:val="006F3527"/>
    <w:rsid w:val="006F35B1"/>
    <w:rsid w:val="006F35CA"/>
    <w:rsid w:val="006F365F"/>
    <w:rsid w:val="006F3A7F"/>
    <w:rsid w:val="006F3AC2"/>
    <w:rsid w:val="006F3BC7"/>
    <w:rsid w:val="006F45F9"/>
    <w:rsid w:val="006F45FA"/>
    <w:rsid w:val="006F49B7"/>
    <w:rsid w:val="006F4FB5"/>
    <w:rsid w:val="006F538B"/>
    <w:rsid w:val="006F5757"/>
    <w:rsid w:val="006F5C1F"/>
    <w:rsid w:val="006F6251"/>
    <w:rsid w:val="006F63F3"/>
    <w:rsid w:val="006F6843"/>
    <w:rsid w:val="006F6BFE"/>
    <w:rsid w:val="006F6CC7"/>
    <w:rsid w:val="006F71A6"/>
    <w:rsid w:val="006F7497"/>
    <w:rsid w:val="006F7D7E"/>
    <w:rsid w:val="006F7E14"/>
    <w:rsid w:val="007003BD"/>
    <w:rsid w:val="007007E4"/>
    <w:rsid w:val="00700893"/>
    <w:rsid w:val="00700AD9"/>
    <w:rsid w:val="00700AF4"/>
    <w:rsid w:val="00700BD9"/>
    <w:rsid w:val="007010D5"/>
    <w:rsid w:val="00701146"/>
    <w:rsid w:val="007012EE"/>
    <w:rsid w:val="00701586"/>
    <w:rsid w:val="007015FC"/>
    <w:rsid w:val="0070162A"/>
    <w:rsid w:val="0070195C"/>
    <w:rsid w:val="00702032"/>
    <w:rsid w:val="007020A2"/>
    <w:rsid w:val="007029CE"/>
    <w:rsid w:val="007035F1"/>
    <w:rsid w:val="00703635"/>
    <w:rsid w:val="0070471E"/>
    <w:rsid w:val="00704757"/>
    <w:rsid w:val="00704CD4"/>
    <w:rsid w:val="00704FED"/>
    <w:rsid w:val="007051AE"/>
    <w:rsid w:val="0070546C"/>
    <w:rsid w:val="00705740"/>
    <w:rsid w:val="0070624C"/>
    <w:rsid w:val="0070657E"/>
    <w:rsid w:val="00706E45"/>
    <w:rsid w:val="00707049"/>
    <w:rsid w:val="00707A2E"/>
    <w:rsid w:val="00707B41"/>
    <w:rsid w:val="00707EDC"/>
    <w:rsid w:val="0071029E"/>
    <w:rsid w:val="00710B44"/>
    <w:rsid w:val="00710BD2"/>
    <w:rsid w:val="00710CF4"/>
    <w:rsid w:val="00710DC2"/>
    <w:rsid w:val="00712149"/>
    <w:rsid w:val="00712553"/>
    <w:rsid w:val="00712E27"/>
    <w:rsid w:val="00712EF5"/>
    <w:rsid w:val="00713049"/>
    <w:rsid w:val="007131E0"/>
    <w:rsid w:val="007136B2"/>
    <w:rsid w:val="0071372B"/>
    <w:rsid w:val="0071391D"/>
    <w:rsid w:val="00713EC5"/>
    <w:rsid w:val="00714340"/>
    <w:rsid w:val="007144FB"/>
    <w:rsid w:val="007149CA"/>
    <w:rsid w:val="00714B63"/>
    <w:rsid w:val="00715189"/>
    <w:rsid w:val="00715356"/>
    <w:rsid w:val="007158C6"/>
    <w:rsid w:val="00715C7B"/>
    <w:rsid w:val="00716556"/>
    <w:rsid w:val="007169AA"/>
    <w:rsid w:val="00716D11"/>
    <w:rsid w:val="007172D3"/>
    <w:rsid w:val="00717EEC"/>
    <w:rsid w:val="00720295"/>
    <w:rsid w:val="00720610"/>
    <w:rsid w:val="007208B2"/>
    <w:rsid w:val="00720992"/>
    <w:rsid w:val="00721178"/>
    <w:rsid w:val="007212A8"/>
    <w:rsid w:val="00721A71"/>
    <w:rsid w:val="007221AE"/>
    <w:rsid w:val="00722E6A"/>
    <w:rsid w:val="0072329F"/>
    <w:rsid w:val="0072331B"/>
    <w:rsid w:val="00723353"/>
    <w:rsid w:val="007233DC"/>
    <w:rsid w:val="0072354F"/>
    <w:rsid w:val="00723637"/>
    <w:rsid w:val="00723E6F"/>
    <w:rsid w:val="00724641"/>
    <w:rsid w:val="00724A52"/>
    <w:rsid w:val="00725037"/>
    <w:rsid w:val="0072511F"/>
    <w:rsid w:val="007251C9"/>
    <w:rsid w:val="007252B8"/>
    <w:rsid w:val="007260E5"/>
    <w:rsid w:val="00726143"/>
    <w:rsid w:val="00726BA8"/>
    <w:rsid w:val="0072707D"/>
    <w:rsid w:val="0072717C"/>
    <w:rsid w:val="007278DD"/>
    <w:rsid w:val="00727E43"/>
    <w:rsid w:val="0073031C"/>
    <w:rsid w:val="0073093C"/>
    <w:rsid w:val="00730CEC"/>
    <w:rsid w:val="007313AD"/>
    <w:rsid w:val="00731D87"/>
    <w:rsid w:val="0073218E"/>
    <w:rsid w:val="0073283F"/>
    <w:rsid w:val="00732A19"/>
    <w:rsid w:val="00732C7C"/>
    <w:rsid w:val="0073362A"/>
    <w:rsid w:val="0073368A"/>
    <w:rsid w:val="00733796"/>
    <w:rsid w:val="00733F1E"/>
    <w:rsid w:val="00734055"/>
    <w:rsid w:val="00734159"/>
    <w:rsid w:val="007344E1"/>
    <w:rsid w:val="00734F3D"/>
    <w:rsid w:val="00735938"/>
    <w:rsid w:val="00735AB4"/>
    <w:rsid w:val="007361BB"/>
    <w:rsid w:val="007364A5"/>
    <w:rsid w:val="007364D8"/>
    <w:rsid w:val="00736982"/>
    <w:rsid w:val="00736D5A"/>
    <w:rsid w:val="007372CA"/>
    <w:rsid w:val="0073788C"/>
    <w:rsid w:val="00737951"/>
    <w:rsid w:val="00740C2A"/>
    <w:rsid w:val="00741E33"/>
    <w:rsid w:val="00742B0D"/>
    <w:rsid w:val="00743C1C"/>
    <w:rsid w:val="00743CC0"/>
    <w:rsid w:val="00744170"/>
    <w:rsid w:val="007447E0"/>
    <w:rsid w:val="00744DF7"/>
    <w:rsid w:val="007451D2"/>
    <w:rsid w:val="00745980"/>
    <w:rsid w:val="00745C21"/>
    <w:rsid w:val="00745C91"/>
    <w:rsid w:val="00746BF8"/>
    <w:rsid w:val="00746C4F"/>
    <w:rsid w:val="00746F8D"/>
    <w:rsid w:val="007473DE"/>
    <w:rsid w:val="00747BF7"/>
    <w:rsid w:val="007503D1"/>
    <w:rsid w:val="00750826"/>
    <w:rsid w:val="00750DE0"/>
    <w:rsid w:val="00750FA3"/>
    <w:rsid w:val="007510B0"/>
    <w:rsid w:val="00751355"/>
    <w:rsid w:val="00751E22"/>
    <w:rsid w:val="0075214D"/>
    <w:rsid w:val="00752177"/>
    <w:rsid w:val="0075222B"/>
    <w:rsid w:val="00752344"/>
    <w:rsid w:val="007526E4"/>
    <w:rsid w:val="00752CB1"/>
    <w:rsid w:val="007536F7"/>
    <w:rsid w:val="00753F6B"/>
    <w:rsid w:val="00754119"/>
    <w:rsid w:val="007544F8"/>
    <w:rsid w:val="00754C65"/>
    <w:rsid w:val="00754D54"/>
    <w:rsid w:val="0075504A"/>
    <w:rsid w:val="007553AB"/>
    <w:rsid w:val="0075558B"/>
    <w:rsid w:val="00755AB4"/>
    <w:rsid w:val="00755E85"/>
    <w:rsid w:val="00755E9D"/>
    <w:rsid w:val="007560F5"/>
    <w:rsid w:val="00756320"/>
    <w:rsid w:val="00756EB2"/>
    <w:rsid w:val="00757104"/>
    <w:rsid w:val="00757120"/>
    <w:rsid w:val="00757246"/>
    <w:rsid w:val="0075737F"/>
    <w:rsid w:val="007576B6"/>
    <w:rsid w:val="00757C06"/>
    <w:rsid w:val="00757C0F"/>
    <w:rsid w:val="00757E45"/>
    <w:rsid w:val="00760DBD"/>
    <w:rsid w:val="00760E5A"/>
    <w:rsid w:val="007616A5"/>
    <w:rsid w:val="00761F46"/>
    <w:rsid w:val="007621F9"/>
    <w:rsid w:val="00762210"/>
    <w:rsid w:val="007623C8"/>
    <w:rsid w:val="007632BA"/>
    <w:rsid w:val="00763477"/>
    <w:rsid w:val="00763CF3"/>
    <w:rsid w:val="0076467F"/>
    <w:rsid w:val="00764A16"/>
    <w:rsid w:val="00765367"/>
    <w:rsid w:val="00765522"/>
    <w:rsid w:val="00765A94"/>
    <w:rsid w:val="00765CB1"/>
    <w:rsid w:val="00765E64"/>
    <w:rsid w:val="0076612E"/>
    <w:rsid w:val="0076642A"/>
    <w:rsid w:val="00766B17"/>
    <w:rsid w:val="00766FBE"/>
    <w:rsid w:val="00767604"/>
    <w:rsid w:val="00767B1E"/>
    <w:rsid w:val="0077005D"/>
    <w:rsid w:val="007710B6"/>
    <w:rsid w:val="007717C5"/>
    <w:rsid w:val="00771D8D"/>
    <w:rsid w:val="007725D3"/>
    <w:rsid w:val="00772ACA"/>
    <w:rsid w:val="00773079"/>
    <w:rsid w:val="00774086"/>
    <w:rsid w:val="007743D1"/>
    <w:rsid w:val="00774E64"/>
    <w:rsid w:val="00774F36"/>
    <w:rsid w:val="00774FD8"/>
    <w:rsid w:val="00775151"/>
    <w:rsid w:val="007751E1"/>
    <w:rsid w:val="00775E5C"/>
    <w:rsid w:val="007767CF"/>
    <w:rsid w:val="0077685E"/>
    <w:rsid w:val="00777546"/>
    <w:rsid w:val="0078004A"/>
    <w:rsid w:val="007803EF"/>
    <w:rsid w:val="00780773"/>
    <w:rsid w:val="00781615"/>
    <w:rsid w:val="00781A74"/>
    <w:rsid w:val="00781BE6"/>
    <w:rsid w:val="00781FB7"/>
    <w:rsid w:val="00782530"/>
    <w:rsid w:val="00782572"/>
    <w:rsid w:val="007825D0"/>
    <w:rsid w:val="007827A2"/>
    <w:rsid w:val="007828FA"/>
    <w:rsid w:val="00782A0D"/>
    <w:rsid w:val="00782FBA"/>
    <w:rsid w:val="00783AA8"/>
    <w:rsid w:val="00783B3F"/>
    <w:rsid w:val="00783B84"/>
    <w:rsid w:val="00783D0C"/>
    <w:rsid w:val="00783D62"/>
    <w:rsid w:val="00783F08"/>
    <w:rsid w:val="00784963"/>
    <w:rsid w:val="00786065"/>
    <w:rsid w:val="007860CB"/>
    <w:rsid w:val="007861AB"/>
    <w:rsid w:val="00786255"/>
    <w:rsid w:val="007867E3"/>
    <w:rsid w:val="00786932"/>
    <w:rsid w:val="0078703D"/>
    <w:rsid w:val="0078734B"/>
    <w:rsid w:val="007873A4"/>
    <w:rsid w:val="007877D1"/>
    <w:rsid w:val="00787F39"/>
    <w:rsid w:val="007902A4"/>
    <w:rsid w:val="007903B5"/>
    <w:rsid w:val="00790A64"/>
    <w:rsid w:val="00790B9A"/>
    <w:rsid w:val="00790E56"/>
    <w:rsid w:val="00790E8B"/>
    <w:rsid w:val="00791DD6"/>
    <w:rsid w:val="00792004"/>
    <w:rsid w:val="00792012"/>
    <w:rsid w:val="00792236"/>
    <w:rsid w:val="00792891"/>
    <w:rsid w:val="00793C5E"/>
    <w:rsid w:val="00794241"/>
    <w:rsid w:val="00794404"/>
    <w:rsid w:val="0079445A"/>
    <w:rsid w:val="00794696"/>
    <w:rsid w:val="007946BB"/>
    <w:rsid w:val="007947FD"/>
    <w:rsid w:val="00794C03"/>
    <w:rsid w:val="007952B9"/>
    <w:rsid w:val="00795598"/>
    <w:rsid w:val="007956A0"/>
    <w:rsid w:val="007958CF"/>
    <w:rsid w:val="00796702"/>
    <w:rsid w:val="00796970"/>
    <w:rsid w:val="00796A32"/>
    <w:rsid w:val="00796DEF"/>
    <w:rsid w:val="00797278"/>
    <w:rsid w:val="007977BF"/>
    <w:rsid w:val="007978C0"/>
    <w:rsid w:val="007A012B"/>
    <w:rsid w:val="007A03C4"/>
    <w:rsid w:val="007A04A3"/>
    <w:rsid w:val="007A099A"/>
    <w:rsid w:val="007A0E1D"/>
    <w:rsid w:val="007A1295"/>
    <w:rsid w:val="007A12CE"/>
    <w:rsid w:val="007A15D2"/>
    <w:rsid w:val="007A1A7A"/>
    <w:rsid w:val="007A1B40"/>
    <w:rsid w:val="007A1D69"/>
    <w:rsid w:val="007A1E7E"/>
    <w:rsid w:val="007A1E9C"/>
    <w:rsid w:val="007A2113"/>
    <w:rsid w:val="007A21DD"/>
    <w:rsid w:val="007A2206"/>
    <w:rsid w:val="007A36B8"/>
    <w:rsid w:val="007A3DF7"/>
    <w:rsid w:val="007A4051"/>
    <w:rsid w:val="007A436F"/>
    <w:rsid w:val="007A4525"/>
    <w:rsid w:val="007A4718"/>
    <w:rsid w:val="007A5381"/>
    <w:rsid w:val="007A5463"/>
    <w:rsid w:val="007A5A36"/>
    <w:rsid w:val="007A5B49"/>
    <w:rsid w:val="007A5C47"/>
    <w:rsid w:val="007A61A0"/>
    <w:rsid w:val="007A6305"/>
    <w:rsid w:val="007A6D8A"/>
    <w:rsid w:val="007A6DA5"/>
    <w:rsid w:val="007A6E5D"/>
    <w:rsid w:val="007A70DD"/>
    <w:rsid w:val="007A717D"/>
    <w:rsid w:val="007A71B5"/>
    <w:rsid w:val="007B0146"/>
    <w:rsid w:val="007B0504"/>
    <w:rsid w:val="007B054F"/>
    <w:rsid w:val="007B0751"/>
    <w:rsid w:val="007B0BDA"/>
    <w:rsid w:val="007B0F37"/>
    <w:rsid w:val="007B1101"/>
    <w:rsid w:val="007B11AA"/>
    <w:rsid w:val="007B19E5"/>
    <w:rsid w:val="007B207E"/>
    <w:rsid w:val="007B2258"/>
    <w:rsid w:val="007B231D"/>
    <w:rsid w:val="007B26FB"/>
    <w:rsid w:val="007B3001"/>
    <w:rsid w:val="007B374B"/>
    <w:rsid w:val="007B3F0A"/>
    <w:rsid w:val="007B4660"/>
    <w:rsid w:val="007B4831"/>
    <w:rsid w:val="007B49CF"/>
    <w:rsid w:val="007B4F72"/>
    <w:rsid w:val="007B5D2D"/>
    <w:rsid w:val="007B60F2"/>
    <w:rsid w:val="007B64F9"/>
    <w:rsid w:val="007B65AB"/>
    <w:rsid w:val="007B6835"/>
    <w:rsid w:val="007B6E99"/>
    <w:rsid w:val="007B7575"/>
    <w:rsid w:val="007B788F"/>
    <w:rsid w:val="007C00D3"/>
    <w:rsid w:val="007C00F9"/>
    <w:rsid w:val="007C0693"/>
    <w:rsid w:val="007C06F1"/>
    <w:rsid w:val="007C087B"/>
    <w:rsid w:val="007C0C60"/>
    <w:rsid w:val="007C0F0C"/>
    <w:rsid w:val="007C139C"/>
    <w:rsid w:val="007C184B"/>
    <w:rsid w:val="007C1C8F"/>
    <w:rsid w:val="007C2820"/>
    <w:rsid w:val="007C28B7"/>
    <w:rsid w:val="007C2D47"/>
    <w:rsid w:val="007C2E33"/>
    <w:rsid w:val="007C2FF3"/>
    <w:rsid w:val="007C30D7"/>
    <w:rsid w:val="007C3C91"/>
    <w:rsid w:val="007C3CA8"/>
    <w:rsid w:val="007C458C"/>
    <w:rsid w:val="007C48A9"/>
    <w:rsid w:val="007C4A97"/>
    <w:rsid w:val="007C4C90"/>
    <w:rsid w:val="007C4EC1"/>
    <w:rsid w:val="007C51CA"/>
    <w:rsid w:val="007C5C1E"/>
    <w:rsid w:val="007C5E04"/>
    <w:rsid w:val="007C62F4"/>
    <w:rsid w:val="007C63DE"/>
    <w:rsid w:val="007C664B"/>
    <w:rsid w:val="007C6C5F"/>
    <w:rsid w:val="007C70C9"/>
    <w:rsid w:val="007C71B0"/>
    <w:rsid w:val="007C7224"/>
    <w:rsid w:val="007C7558"/>
    <w:rsid w:val="007D06DA"/>
    <w:rsid w:val="007D08CC"/>
    <w:rsid w:val="007D0C42"/>
    <w:rsid w:val="007D0D6E"/>
    <w:rsid w:val="007D0D88"/>
    <w:rsid w:val="007D14A9"/>
    <w:rsid w:val="007D15FA"/>
    <w:rsid w:val="007D18C4"/>
    <w:rsid w:val="007D2119"/>
    <w:rsid w:val="007D257D"/>
    <w:rsid w:val="007D2A74"/>
    <w:rsid w:val="007D2B8C"/>
    <w:rsid w:val="007D2D5B"/>
    <w:rsid w:val="007D3A2F"/>
    <w:rsid w:val="007D3BA2"/>
    <w:rsid w:val="007D4266"/>
    <w:rsid w:val="007D4533"/>
    <w:rsid w:val="007D4D39"/>
    <w:rsid w:val="007D4EFB"/>
    <w:rsid w:val="007D5059"/>
    <w:rsid w:val="007D54E1"/>
    <w:rsid w:val="007D5ADA"/>
    <w:rsid w:val="007D5CE2"/>
    <w:rsid w:val="007D5EE1"/>
    <w:rsid w:val="007D6281"/>
    <w:rsid w:val="007D64AB"/>
    <w:rsid w:val="007D6503"/>
    <w:rsid w:val="007D6B3A"/>
    <w:rsid w:val="007D755B"/>
    <w:rsid w:val="007D789D"/>
    <w:rsid w:val="007D7AB6"/>
    <w:rsid w:val="007D7B73"/>
    <w:rsid w:val="007D7CB1"/>
    <w:rsid w:val="007E0463"/>
    <w:rsid w:val="007E0711"/>
    <w:rsid w:val="007E0759"/>
    <w:rsid w:val="007E0A19"/>
    <w:rsid w:val="007E0BAE"/>
    <w:rsid w:val="007E1EE9"/>
    <w:rsid w:val="007E21FF"/>
    <w:rsid w:val="007E2538"/>
    <w:rsid w:val="007E2E4E"/>
    <w:rsid w:val="007E2FB7"/>
    <w:rsid w:val="007E3105"/>
    <w:rsid w:val="007E3A43"/>
    <w:rsid w:val="007E3B84"/>
    <w:rsid w:val="007E3C46"/>
    <w:rsid w:val="007E3F08"/>
    <w:rsid w:val="007E4438"/>
    <w:rsid w:val="007E4688"/>
    <w:rsid w:val="007E49D2"/>
    <w:rsid w:val="007E4B1B"/>
    <w:rsid w:val="007E4D19"/>
    <w:rsid w:val="007E5674"/>
    <w:rsid w:val="007E5951"/>
    <w:rsid w:val="007E5A12"/>
    <w:rsid w:val="007E5C30"/>
    <w:rsid w:val="007E64B8"/>
    <w:rsid w:val="007E65D5"/>
    <w:rsid w:val="007E6B2F"/>
    <w:rsid w:val="007E6E89"/>
    <w:rsid w:val="007E6F2A"/>
    <w:rsid w:val="007E7E60"/>
    <w:rsid w:val="007F0629"/>
    <w:rsid w:val="007F0AFA"/>
    <w:rsid w:val="007F103F"/>
    <w:rsid w:val="007F113F"/>
    <w:rsid w:val="007F1163"/>
    <w:rsid w:val="007F1182"/>
    <w:rsid w:val="007F11B9"/>
    <w:rsid w:val="007F12EB"/>
    <w:rsid w:val="007F1BDA"/>
    <w:rsid w:val="007F1E8D"/>
    <w:rsid w:val="007F2026"/>
    <w:rsid w:val="007F20B8"/>
    <w:rsid w:val="007F2131"/>
    <w:rsid w:val="007F21DA"/>
    <w:rsid w:val="007F2217"/>
    <w:rsid w:val="007F22A0"/>
    <w:rsid w:val="007F2769"/>
    <w:rsid w:val="007F276A"/>
    <w:rsid w:val="007F2A60"/>
    <w:rsid w:val="007F2CCD"/>
    <w:rsid w:val="007F30E1"/>
    <w:rsid w:val="007F31A2"/>
    <w:rsid w:val="007F3A4C"/>
    <w:rsid w:val="007F428F"/>
    <w:rsid w:val="007F42CE"/>
    <w:rsid w:val="007F437D"/>
    <w:rsid w:val="007F43CF"/>
    <w:rsid w:val="007F48D3"/>
    <w:rsid w:val="007F4A98"/>
    <w:rsid w:val="007F527D"/>
    <w:rsid w:val="007F5386"/>
    <w:rsid w:val="007F5D62"/>
    <w:rsid w:val="007F5F6F"/>
    <w:rsid w:val="007F700E"/>
    <w:rsid w:val="007F7088"/>
    <w:rsid w:val="007F7683"/>
    <w:rsid w:val="007F776B"/>
    <w:rsid w:val="007F7A46"/>
    <w:rsid w:val="00800109"/>
    <w:rsid w:val="0080026D"/>
    <w:rsid w:val="00800276"/>
    <w:rsid w:val="008006A1"/>
    <w:rsid w:val="00800798"/>
    <w:rsid w:val="00800E3A"/>
    <w:rsid w:val="00801505"/>
    <w:rsid w:val="00801577"/>
    <w:rsid w:val="00801878"/>
    <w:rsid w:val="0080189A"/>
    <w:rsid w:val="00801E1A"/>
    <w:rsid w:val="00801E60"/>
    <w:rsid w:val="008025D9"/>
    <w:rsid w:val="00802638"/>
    <w:rsid w:val="008029A4"/>
    <w:rsid w:val="00802E98"/>
    <w:rsid w:val="00803538"/>
    <w:rsid w:val="008035AC"/>
    <w:rsid w:val="00803938"/>
    <w:rsid w:val="008039A5"/>
    <w:rsid w:val="00803F19"/>
    <w:rsid w:val="00804A10"/>
    <w:rsid w:val="00804AB2"/>
    <w:rsid w:val="0080557B"/>
    <w:rsid w:val="00805B50"/>
    <w:rsid w:val="008063F4"/>
    <w:rsid w:val="008067AC"/>
    <w:rsid w:val="00806B8C"/>
    <w:rsid w:val="00807B40"/>
    <w:rsid w:val="00807C57"/>
    <w:rsid w:val="00807E84"/>
    <w:rsid w:val="00807F22"/>
    <w:rsid w:val="00810D65"/>
    <w:rsid w:val="00810E99"/>
    <w:rsid w:val="00811D8D"/>
    <w:rsid w:val="008129F5"/>
    <w:rsid w:val="00812FC8"/>
    <w:rsid w:val="008134C6"/>
    <w:rsid w:val="00813BF1"/>
    <w:rsid w:val="008145ED"/>
    <w:rsid w:val="008149E4"/>
    <w:rsid w:val="00814B21"/>
    <w:rsid w:val="00815572"/>
    <w:rsid w:val="00815C37"/>
    <w:rsid w:val="00816423"/>
    <w:rsid w:val="0081646C"/>
    <w:rsid w:val="008164C9"/>
    <w:rsid w:val="008167CB"/>
    <w:rsid w:val="00816A95"/>
    <w:rsid w:val="00816B25"/>
    <w:rsid w:val="008171A9"/>
    <w:rsid w:val="00817997"/>
    <w:rsid w:val="00817F0A"/>
    <w:rsid w:val="008201CE"/>
    <w:rsid w:val="008203A2"/>
    <w:rsid w:val="00820423"/>
    <w:rsid w:val="00820617"/>
    <w:rsid w:val="008207A0"/>
    <w:rsid w:val="00820935"/>
    <w:rsid w:val="008211E2"/>
    <w:rsid w:val="0082147E"/>
    <w:rsid w:val="00821833"/>
    <w:rsid w:val="00821A75"/>
    <w:rsid w:val="00821FDE"/>
    <w:rsid w:val="00822147"/>
    <w:rsid w:val="00822A3B"/>
    <w:rsid w:val="008234FF"/>
    <w:rsid w:val="008235C7"/>
    <w:rsid w:val="008235D0"/>
    <w:rsid w:val="00823C4C"/>
    <w:rsid w:val="0082462C"/>
    <w:rsid w:val="00824BE9"/>
    <w:rsid w:val="008252B9"/>
    <w:rsid w:val="008254BA"/>
    <w:rsid w:val="008254C2"/>
    <w:rsid w:val="00826076"/>
    <w:rsid w:val="00826245"/>
    <w:rsid w:val="00826488"/>
    <w:rsid w:val="008267B7"/>
    <w:rsid w:val="008269E1"/>
    <w:rsid w:val="00826DD4"/>
    <w:rsid w:val="00827845"/>
    <w:rsid w:val="008278EB"/>
    <w:rsid w:val="00827BF9"/>
    <w:rsid w:val="00827D28"/>
    <w:rsid w:val="00827D99"/>
    <w:rsid w:val="0083012B"/>
    <w:rsid w:val="00830713"/>
    <w:rsid w:val="0083075F"/>
    <w:rsid w:val="00830C1A"/>
    <w:rsid w:val="00830E29"/>
    <w:rsid w:val="00831140"/>
    <w:rsid w:val="008311E4"/>
    <w:rsid w:val="00831966"/>
    <w:rsid w:val="00831B02"/>
    <w:rsid w:val="00833070"/>
    <w:rsid w:val="0083325E"/>
    <w:rsid w:val="00833940"/>
    <w:rsid w:val="00833E52"/>
    <w:rsid w:val="0083458A"/>
    <w:rsid w:val="00834906"/>
    <w:rsid w:val="00834C18"/>
    <w:rsid w:val="0083515B"/>
    <w:rsid w:val="00835289"/>
    <w:rsid w:val="008355BC"/>
    <w:rsid w:val="00835B3B"/>
    <w:rsid w:val="00835C90"/>
    <w:rsid w:val="00835F35"/>
    <w:rsid w:val="0083603B"/>
    <w:rsid w:val="00836855"/>
    <w:rsid w:val="0083688F"/>
    <w:rsid w:val="008369CE"/>
    <w:rsid w:val="00836B8C"/>
    <w:rsid w:val="00836C42"/>
    <w:rsid w:val="008372C0"/>
    <w:rsid w:val="00837713"/>
    <w:rsid w:val="0084005F"/>
    <w:rsid w:val="00840133"/>
    <w:rsid w:val="0084047B"/>
    <w:rsid w:val="008404A7"/>
    <w:rsid w:val="008419CF"/>
    <w:rsid w:val="00841F35"/>
    <w:rsid w:val="0084207C"/>
    <w:rsid w:val="00842121"/>
    <w:rsid w:val="00842478"/>
    <w:rsid w:val="008425DD"/>
    <w:rsid w:val="00844295"/>
    <w:rsid w:val="008442B5"/>
    <w:rsid w:val="0084492C"/>
    <w:rsid w:val="00844C62"/>
    <w:rsid w:val="0084513D"/>
    <w:rsid w:val="008456CA"/>
    <w:rsid w:val="0084578C"/>
    <w:rsid w:val="00846BB8"/>
    <w:rsid w:val="00846DBC"/>
    <w:rsid w:val="00846DE9"/>
    <w:rsid w:val="00846E59"/>
    <w:rsid w:val="00847379"/>
    <w:rsid w:val="008479D0"/>
    <w:rsid w:val="00850692"/>
    <w:rsid w:val="00850911"/>
    <w:rsid w:val="0085094A"/>
    <w:rsid w:val="00850A8B"/>
    <w:rsid w:val="00850F09"/>
    <w:rsid w:val="00851292"/>
    <w:rsid w:val="00851551"/>
    <w:rsid w:val="00851CD6"/>
    <w:rsid w:val="00851F1C"/>
    <w:rsid w:val="0085207B"/>
    <w:rsid w:val="00852237"/>
    <w:rsid w:val="008522F9"/>
    <w:rsid w:val="008523B7"/>
    <w:rsid w:val="008528E2"/>
    <w:rsid w:val="00852B21"/>
    <w:rsid w:val="00852BBA"/>
    <w:rsid w:val="00852CFB"/>
    <w:rsid w:val="008530BA"/>
    <w:rsid w:val="00853508"/>
    <w:rsid w:val="008538CA"/>
    <w:rsid w:val="00854282"/>
    <w:rsid w:val="008544D3"/>
    <w:rsid w:val="0085564F"/>
    <w:rsid w:val="00855770"/>
    <w:rsid w:val="00855D59"/>
    <w:rsid w:val="00856E3F"/>
    <w:rsid w:val="00856FC3"/>
    <w:rsid w:val="00860999"/>
    <w:rsid w:val="00860D07"/>
    <w:rsid w:val="008611CF"/>
    <w:rsid w:val="0086194E"/>
    <w:rsid w:val="00861B61"/>
    <w:rsid w:val="00861CC1"/>
    <w:rsid w:val="0086233C"/>
    <w:rsid w:val="00862598"/>
    <w:rsid w:val="0086274E"/>
    <w:rsid w:val="00862814"/>
    <w:rsid w:val="00862B0F"/>
    <w:rsid w:val="00862D16"/>
    <w:rsid w:val="00864223"/>
    <w:rsid w:val="0086434A"/>
    <w:rsid w:val="00864875"/>
    <w:rsid w:val="008649C4"/>
    <w:rsid w:val="00864CA4"/>
    <w:rsid w:val="00865014"/>
    <w:rsid w:val="00865B88"/>
    <w:rsid w:val="00866135"/>
    <w:rsid w:val="0086634D"/>
    <w:rsid w:val="00866409"/>
    <w:rsid w:val="008664E4"/>
    <w:rsid w:val="008665D9"/>
    <w:rsid w:val="0086672A"/>
    <w:rsid w:val="00866B23"/>
    <w:rsid w:val="00866D05"/>
    <w:rsid w:val="008670CF"/>
    <w:rsid w:val="0086747E"/>
    <w:rsid w:val="00867C07"/>
    <w:rsid w:val="008700CD"/>
    <w:rsid w:val="008708D8"/>
    <w:rsid w:val="00870982"/>
    <w:rsid w:val="00870C68"/>
    <w:rsid w:val="00870F7D"/>
    <w:rsid w:val="00871438"/>
    <w:rsid w:val="00871DD0"/>
    <w:rsid w:val="008724DB"/>
    <w:rsid w:val="0087266F"/>
    <w:rsid w:val="008727D7"/>
    <w:rsid w:val="008729BD"/>
    <w:rsid w:val="00872A70"/>
    <w:rsid w:val="0087308C"/>
    <w:rsid w:val="00873A7E"/>
    <w:rsid w:val="008743C3"/>
    <w:rsid w:val="00874478"/>
    <w:rsid w:val="0087563B"/>
    <w:rsid w:val="00875E46"/>
    <w:rsid w:val="00875E63"/>
    <w:rsid w:val="00875FDE"/>
    <w:rsid w:val="008760F3"/>
    <w:rsid w:val="0087672F"/>
    <w:rsid w:val="008769A5"/>
    <w:rsid w:val="00876BB0"/>
    <w:rsid w:val="00877154"/>
    <w:rsid w:val="0087776B"/>
    <w:rsid w:val="00877801"/>
    <w:rsid w:val="0087790E"/>
    <w:rsid w:val="00877D99"/>
    <w:rsid w:val="00877EE0"/>
    <w:rsid w:val="008809D3"/>
    <w:rsid w:val="00881441"/>
    <w:rsid w:val="00881D90"/>
    <w:rsid w:val="00882002"/>
    <w:rsid w:val="008823F7"/>
    <w:rsid w:val="00882707"/>
    <w:rsid w:val="008829F6"/>
    <w:rsid w:val="00882D1F"/>
    <w:rsid w:val="00882EDF"/>
    <w:rsid w:val="0088362E"/>
    <w:rsid w:val="00883E2A"/>
    <w:rsid w:val="008840D2"/>
    <w:rsid w:val="00884662"/>
    <w:rsid w:val="0088486D"/>
    <w:rsid w:val="00884A49"/>
    <w:rsid w:val="008852FF"/>
    <w:rsid w:val="008854BF"/>
    <w:rsid w:val="00885727"/>
    <w:rsid w:val="00885C25"/>
    <w:rsid w:val="00885C3F"/>
    <w:rsid w:val="008862EE"/>
    <w:rsid w:val="0088649E"/>
    <w:rsid w:val="00886A4C"/>
    <w:rsid w:val="00886DC5"/>
    <w:rsid w:val="008870F9"/>
    <w:rsid w:val="00887183"/>
    <w:rsid w:val="008873B2"/>
    <w:rsid w:val="008874B9"/>
    <w:rsid w:val="00887589"/>
    <w:rsid w:val="00887A1E"/>
    <w:rsid w:val="00887F2F"/>
    <w:rsid w:val="00890920"/>
    <w:rsid w:val="00890A47"/>
    <w:rsid w:val="00890AF8"/>
    <w:rsid w:val="0089109D"/>
    <w:rsid w:val="0089167D"/>
    <w:rsid w:val="00891B23"/>
    <w:rsid w:val="00891F84"/>
    <w:rsid w:val="00891F9D"/>
    <w:rsid w:val="00892094"/>
    <w:rsid w:val="00892235"/>
    <w:rsid w:val="0089241A"/>
    <w:rsid w:val="00892E33"/>
    <w:rsid w:val="00893457"/>
    <w:rsid w:val="0089397B"/>
    <w:rsid w:val="00893A98"/>
    <w:rsid w:val="00894570"/>
    <w:rsid w:val="00894657"/>
    <w:rsid w:val="00894936"/>
    <w:rsid w:val="00894F93"/>
    <w:rsid w:val="00895345"/>
    <w:rsid w:val="00895348"/>
    <w:rsid w:val="00895799"/>
    <w:rsid w:val="00895BD1"/>
    <w:rsid w:val="00895C05"/>
    <w:rsid w:val="00895D95"/>
    <w:rsid w:val="00896A17"/>
    <w:rsid w:val="00897AC0"/>
    <w:rsid w:val="00897F22"/>
    <w:rsid w:val="008A0EE0"/>
    <w:rsid w:val="008A0F15"/>
    <w:rsid w:val="008A1165"/>
    <w:rsid w:val="008A1D68"/>
    <w:rsid w:val="008A220B"/>
    <w:rsid w:val="008A232B"/>
    <w:rsid w:val="008A238D"/>
    <w:rsid w:val="008A2AE5"/>
    <w:rsid w:val="008A3987"/>
    <w:rsid w:val="008A3FBE"/>
    <w:rsid w:val="008A44DF"/>
    <w:rsid w:val="008A4613"/>
    <w:rsid w:val="008A471A"/>
    <w:rsid w:val="008A4CDA"/>
    <w:rsid w:val="008A4FAE"/>
    <w:rsid w:val="008A5190"/>
    <w:rsid w:val="008A568F"/>
    <w:rsid w:val="008A5A57"/>
    <w:rsid w:val="008A5F85"/>
    <w:rsid w:val="008A6E6E"/>
    <w:rsid w:val="008A70B4"/>
    <w:rsid w:val="008A730E"/>
    <w:rsid w:val="008A7A96"/>
    <w:rsid w:val="008A7E61"/>
    <w:rsid w:val="008A7F7D"/>
    <w:rsid w:val="008B0010"/>
    <w:rsid w:val="008B0A24"/>
    <w:rsid w:val="008B0BDB"/>
    <w:rsid w:val="008B0FAC"/>
    <w:rsid w:val="008B117F"/>
    <w:rsid w:val="008B13ED"/>
    <w:rsid w:val="008B1DC6"/>
    <w:rsid w:val="008B2353"/>
    <w:rsid w:val="008B275D"/>
    <w:rsid w:val="008B351F"/>
    <w:rsid w:val="008B3D6D"/>
    <w:rsid w:val="008B4041"/>
    <w:rsid w:val="008B42B0"/>
    <w:rsid w:val="008B4586"/>
    <w:rsid w:val="008B4676"/>
    <w:rsid w:val="008B46FF"/>
    <w:rsid w:val="008B4AE1"/>
    <w:rsid w:val="008B4B10"/>
    <w:rsid w:val="008B4BC8"/>
    <w:rsid w:val="008B5281"/>
    <w:rsid w:val="008B54A0"/>
    <w:rsid w:val="008B68BE"/>
    <w:rsid w:val="008B6915"/>
    <w:rsid w:val="008B698F"/>
    <w:rsid w:val="008B6B54"/>
    <w:rsid w:val="008B6B9C"/>
    <w:rsid w:val="008B6E96"/>
    <w:rsid w:val="008B71F9"/>
    <w:rsid w:val="008B7317"/>
    <w:rsid w:val="008B77ED"/>
    <w:rsid w:val="008C003C"/>
    <w:rsid w:val="008C0325"/>
    <w:rsid w:val="008C0491"/>
    <w:rsid w:val="008C06F7"/>
    <w:rsid w:val="008C077A"/>
    <w:rsid w:val="008C0B5F"/>
    <w:rsid w:val="008C0BF1"/>
    <w:rsid w:val="008C0CD2"/>
    <w:rsid w:val="008C0D5E"/>
    <w:rsid w:val="008C1212"/>
    <w:rsid w:val="008C1F34"/>
    <w:rsid w:val="008C2D5D"/>
    <w:rsid w:val="008C2FFB"/>
    <w:rsid w:val="008C328D"/>
    <w:rsid w:val="008C3543"/>
    <w:rsid w:val="008C364F"/>
    <w:rsid w:val="008C3E37"/>
    <w:rsid w:val="008C40E8"/>
    <w:rsid w:val="008C450A"/>
    <w:rsid w:val="008C4CAC"/>
    <w:rsid w:val="008C5484"/>
    <w:rsid w:val="008C556E"/>
    <w:rsid w:val="008C5DB3"/>
    <w:rsid w:val="008C6347"/>
    <w:rsid w:val="008C67F1"/>
    <w:rsid w:val="008C6849"/>
    <w:rsid w:val="008C69E7"/>
    <w:rsid w:val="008C6A7C"/>
    <w:rsid w:val="008C7892"/>
    <w:rsid w:val="008C7C99"/>
    <w:rsid w:val="008C7F76"/>
    <w:rsid w:val="008D0201"/>
    <w:rsid w:val="008D039C"/>
    <w:rsid w:val="008D0690"/>
    <w:rsid w:val="008D06EC"/>
    <w:rsid w:val="008D0A5E"/>
    <w:rsid w:val="008D0F0C"/>
    <w:rsid w:val="008D0F94"/>
    <w:rsid w:val="008D183A"/>
    <w:rsid w:val="008D18F7"/>
    <w:rsid w:val="008D19DD"/>
    <w:rsid w:val="008D1D6E"/>
    <w:rsid w:val="008D1FD9"/>
    <w:rsid w:val="008D22A7"/>
    <w:rsid w:val="008D2F54"/>
    <w:rsid w:val="008D37ED"/>
    <w:rsid w:val="008D44A6"/>
    <w:rsid w:val="008D46A0"/>
    <w:rsid w:val="008D4DD6"/>
    <w:rsid w:val="008D5094"/>
    <w:rsid w:val="008D567F"/>
    <w:rsid w:val="008D586D"/>
    <w:rsid w:val="008D5C10"/>
    <w:rsid w:val="008D5C74"/>
    <w:rsid w:val="008D5CB5"/>
    <w:rsid w:val="008D63A6"/>
    <w:rsid w:val="008D67ED"/>
    <w:rsid w:val="008D7858"/>
    <w:rsid w:val="008D796E"/>
    <w:rsid w:val="008D79E9"/>
    <w:rsid w:val="008E0194"/>
    <w:rsid w:val="008E0E1A"/>
    <w:rsid w:val="008E118B"/>
    <w:rsid w:val="008E147C"/>
    <w:rsid w:val="008E16DE"/>
    <w:rsid w:val="008E1AAD"/>
    <w:rsid w:val="008E1EDB"/>
    <w:rsid w:val="008E223B"/>
    <w:rsid w:val="008E2B7B"/>
    <w:rsid w:val="008E2C73"/>
    <w:rsid w:val="008E32EF"/>
    <w:rsid w:val="008E3603"/>
    <w:rsid w:val="008E367E"/>
    <w:rsid w:val="008E3693"/>
    <w:rsid w:val="008E3A6D"/>
    <w:rsid w:val="008E3F39"/>
    <w:rsid w:val="008E441A"/>
    <w:rsid w:val="008E449F"/>
    <w:rsid w:val="008E5076"/>
    <w:rsid w:val="008E561D"/>
    <w:rsid w:val="008E57F8"/>
    <w:rsid w:val="008E5CFE"/>
    <w:rsid w:val="008E5D94"/>
    <w:rsid w:val="008E69FF"/>
    <w:rsid w:val="008E6DA2"/>
    <w:rsid w:val="008E6E36"/>
    <w:rsid w:val="008E7114"/>
    <w:rsid w:val="008E7567"/>
    <w:rsid w:val="008E7603"/>
    <w:rsid w:val="008E76AA"/>
    <w:rsid w:val="008E79F1"/>
    <w:rsid w:val="008E7AD4"/>
    <w:rsid w:val="008F0378"/>
    <w:rsid w:val="008F07BC"/>
    <w:rsid w:val="008F0838"/>
    <w:rsid w:val="008F089F"/>
    <w:rsid w:val="008F0DF7"/>
    <w:rsid w:val="008F0F42"/>
    <w:rsid w:val="008F0FD5"/>
    <w:rsid w:val="008F1225"/>
    <w:rsid w:val="008F15B9"/>
    <w:rsid w:val="008F18D0"/>
    <w:rsid w:val="008F1981"/>
    <w:rsid w:val="008F1ACA"/>
    <w:rsid w:val="008F1D0D"/>
    <w:rsid w:val="008F1E34"/>
    <w:rsid w:val="008F2013"/>
    <w:rsid w:val="008F2D11"/>
    <w:rsid w:val="008F3636"/>
    <w:rsid w:val="008F3795"/>
    <w:rsid w:val="008F3802"/>
    <w:rsid w:val="008F3BE0"/>
    <w:rsid w:val="008F3EB9"/>
    <w:rsid w:val="008F50F6"/>
    <w:rsid w:val="008F5211"/>
    <w:rsid w:val="008F5CC9"/>
    <w:rsid w:val="008F6917"/>
    <w:rsid w:val="008F6AF2"/>
    <w:rsid w:val="008F6D64"/>
    <w:rsid w:val="008F744C"/>
    <w:rsid w:val="008F7583"/>
    <w:rsid w:val="008F7625"/>
    <w:rsid w:val="008F78B8"/>
    <w:rsid w:val="00900297"/>
    <w:rsid w:val="00900E79"/>
    <w:rsid w:val="009011ED"/>
    <w:rsid w:val="00901837"/>
    <w:rsid w:val="009019A9"/>
    <w:rsid w:val="00901F34"/>
    <w:rsid w:val="009027C7"/>
    <w:rsid w:val="009028F2"/>
    <w:rsid w:val="00902A43"/>
    <w:rsid w:val="00903080"/>
    <w:rsid w:val="00903945"/>
    <w:rsid w:val="00903D76"/>
    <w:rsid w:val="00903F67"/>
    <w:rsid w:val="009059F1"/>
    <w:rsid w:val="009059FA"/>
    <w:rsid w:val="00905FD7"/>
    <w:rsid w:val="0090633B"/>
    <w:rsid w:val="00906B47"/>
    <w:rsid w:val="00906B8B"/>
    <w:rsid w:val="00906BB3"/>
    <w:rsid w:val="00906C9A"/>
    <w:rsid w:val="009074D0"/>
    <w:rsid w:val="009075AF"/>
    <w:rsid w:val="00907C50"/>
    <w:rsid w:val="00910765"/>
    <w:rsid w:val="00910F87"/>
    <w:rsid w:val="00911570"/>
    <w:rsid w:val="009119E4"/>
    <w:rsid w:val="009121CE"/>
    <w:rsid w:val="009124AE"/>
    <w:rsid w:val="00912721"/>
    <w:rsid w:val="0091281D"/>
    <w:rsid w:val="00912851"/>
    <w:rsid w:val="00912EDF"/>
    <w:rsid w:val="00912EFB"/>
    <w:rsid w:val="0091333F"/>
    <w:rsid w:val="009135DA"/>
    <w:rsid w:val="00913682"/>
    <w:rsid w:val="0091462E"/>
    <w:rsid w:val="0091468A"/>
    <w:rsid w:val="00914D48"/>
    <w:rsid w:val="00914D9A"/>
    <w:rsid w:val="00914F1C"/>
    <w:rsid w:val="00915137"/>
    <w:rsid w:val="00915D95"/>
    <w:rsid w:val="009161F9"/>
    <w:rsid w:val="009165B1"/>
    <w:rsid w:val="00917563"/>
    <w:rsid w:val="00917617"/>
    <w:rsid w:val="00917AE3"/>
    <w:rsid w:val="00917B4D"/>
    <w:rsid w:val="00917B75"/>
    <w:rsid w:val="00920384"/>
    <w:rsid w:val="009203D9"/>
    <w:rsid w:val="00920412"/>
    <w:rsid w:val="0092076B"/>
    <w:rsid w:val="00920CD8"/>
    <w:rsid w:val="0092133C"/>
    <w:rsid w:val="00921E57"/>
    <w:rsid w:val="00922052"/>
    <w:rsid w:val="009221DB"/>
    <w:rsid w:val="0092220D"/>
    <w:rsid w:val="009226CF"/>
    <w:rsid w:val="00922759"/>
    <w:rsid w:val="00922BD9"/>
    <w:rsid w:val="00922F72"/>
    <w:rsid w:val="0092345B"/>
    <w:rsid w:val="009235D8"/>
    <w:rsid w:val="0092363D"/>
    <w:rsid w:val="00923799"/>
    <w:rsid w:val="009238B8"/>
    <w:rsid w:val="009247CB"/>
    <w:rsid w:val="00924DC4"/>
    <w:rsid w:val="0092529E"/>
    <w:rsid w:val="00925D19"/>
    <w:rsid w:val="00925F1B"/>
    <w:rsid w:val="009262C6"/>
    <w:rsid w:val="00926BC7"/>
    <w:rsid w:val="00926C07"/>
    <w:rsid w:val="00926D31"/>
    <w:rsid w:val="00927058"/>
    <w:rsid w:val="00927223"/>
    <w:rsid w:val="00927736"/>
    <w:rsid w:val="009309DF"/>
    <w:rsid w:val="00930B67"/>
    <w:rsid w:val="00930E30"/>
    <w:rsid w:val="00931AD2"/>
    <w:rsid w:val="00932250"/>
    <w:rsid w:val="00932424"/>
    <w:rsid w:val="0093266D"/>
    <w:rsid w:val="00933567"/>
    <w:rsid w:val="009338D2"/>
    <w:rsid w:val="00934031"/>
    <w:rsid w:val="009355D3"/>
    <w:rsid w:val="00935997"/>
    <w:rsid w:val="009369CB"/>
    <w:rsid w:val="00936EFC"/>
    <w:rsid w:val="00937465"/>
    <w:rsid w:val="009379F6"/>
    <w:rsid w:val="00937BF6"/>
    <w:rsid w:val="0094022D"/>
    <w:rsid w:val="0094085D"/>
    <w:rsid w:val="00940967"/>
    <w:rsid w:val="00941C8A"/>
    <w:rsid w:val="00941CA6"/>
    <w:rsid w:val="00942A3B"/>
    <w:rsid w:val="00942CBA"/>
    <w:rsid w:val="00943502"/>
    <w:rsid w:val="00943546"/>
    <w:rsid w:val="00943582"/>
    <w:rsid w:val="0094430F"/>
    <w:rsid w:val="009444C9"/>
    <w:rsid w:val="00945078"/>
    <w:rsid w:val="009455E9"/>
    <w:rsid w:val="009459A0"/>
    <w:rsid w:val="00945B6E"/>
    <w:rsid w:val="00945FE7"/>
    <w:rsid w:val="00946213"/>
    <w:rsid w:val="00947794"/>
    <w:rsid w:val="00947DCB"/>
    <w:rsid w:val="00950109"/>
    <w:rsid w:val="009501BE"/>
    <w:rsid w:val="00950228"/>
    <w:rsid w:val="00950401"/>
    <w:rsid w:val="00950733"/>
    <w:rsid w:val="009507FA"/>
    <w:rsid w:val="00951053"/>
    <w:rsid w:val="0095120B"/>
    <w:rsid w:val="009512E1"/>
    <w:rsid w:val="0095174A"/>
    <w:rsid w:val="00951811"/>
    <w:rsid w:val="00952CBB"/>
    <w:rsid w:val="00952D85"/>
    <w:rsid w:val="00953058"/>
    <w:rsid w:val="0095309D"/>
    <w:rsid w:val="00953F89"/>
    <w:rsid w:val="009540E2"/>
    <w:rsid w:val="009547DE"/>
    <w:rsid w:val="009547FB"/>
    <w:rsid w:val="0095488B"/>
    <w:rsid w:val="009552F2"/>
    <w:rsid w:val="009554BC"/>
    <w:rsid w:val="00955515"/>
    <w:rsid w:val="00955E98"/>
    <w:rsid w:val="009561EB"/>
    <w:rsid w:val="00956513"/>
    <w:rsid w:val="009565A5"/>
    <w:rsid w:val="00956A21"/>
    <w:rsid w:val="00956A9F"/>
    <w:rsid w:val="009571E6"/>
    <w:rsid w:val="009574DF"/>
    <w:rsid w:val="00957C07"/>
    <w:rsid w:val="009610B6"/>
    <w:rsid w:val="00961302"/>
    <w:rsid w:val="00961757"/>
    <w:rsid w:val="00961C9A"/>
    <w:rsid w:val="00962EDA"/>
    <w:rsid w:val="00963450"/>
    <w:rsid w:val="0096351F"/>
    <w:rsid w:val="00963DF7"/>
    <w:rsid w:val="0096441E"/>
    <w:rsid w:val="00964676"/>
    <w:rsid w:val="00964933"/>
    <w:rsid w:val="009651FE"/>
    <w:rsid w:val="00965AD5"/>
    <w:rsid w:val="00965D05"/>
    <w:rsid w:val="00966551"/>
    <w:rsid w:val="009666AE"/>
    <w:rsid w:val="00966ED7"/>
    <w:rsid w:val="009675E7"/>
    <w:rsid w:val="00967ADE"/>
    <w:rsid w:val="00967D49"/>
    <w:rsid w:val="00970C0C"/>
    <w:rsid w:val="00970D91"/>
    <w:rsid w:val="0097119C"/>
    <w:rsid w:val="00971224"/>
    <w:rsid w:val="0097147B"/>
    <w:rsid w:val="00971F0F"/>
    <w:rsid w:val="009721F4"/>
    <w:rsid w:val="009729F7"/>
    <w:rsid w:val="00972F4E"/>
    <w:rsid w:val="0097348C"/>
    <w:rsid w:val="009734F2"/>
    <w:rsid w:val="009735CE"/>
    <w:rsid w:val="00973DD8"/>
    <w:rsid w:val="009742A5"/>
    <w:rsid w:val="009745EE"/>
    <w:rsid w:val="00974844"/>
    <w:rsid w:val="00974F7F"/>
    <w:rsid w:val="009750C0"/>
    <w:rsid w:val="00975168"/>
    <w:rsid w:val="00975309"/>
    <w:rsid w:val="0097575F"/>
    <w:rsid w:val="009758F1"/>
    <w:rsid w:val="009759E6"/>
    <w:rsid w:val="00975DC2"/>
    <w:rsid w:val="00975FB4"/>
    <w:rsid w:val="00976C1E"/>
    <w:rsid w:val="00977413"/>
    <w:rsid w:val="00977497"/>
    <w:rsid w:val="009775C7"/>
    <w:rsid w:val="00977A3F"/>
    <w:rsid w:val="00980BC9"/>
    <w:rsid w:val="009812D7"/>
    <w:rsid w:val="00981378"/>
    <w:rsid w:val="00981425"/>
    <w:rsid w:val="009817BB"/>
    <w:rsid w:val="00981DDD"/>
    <w:rsid w:val="00981EAA"/>
    <w:rsid w:val="00982395"/>
    <w:rsid w:val="00982A59"/>
    <w:rsid w:val="00982D52"/>
    <w:rsid w:val="00982EF0"/>
    <w:rsid w:val="00983B96"/>
    <w:rsid w:val="00984384"/>
    <w:rsid w:val="009843C0"/>
    <w:rsid w:val="00984732"/>
    <w:rsid w:val="00984E9C"/>
    <w:rsid w:val="009854B6"/>
    <w:rsid w:val="0098569D"/>
    <w:rsid w:val="00985731"/>
    <w:rsid w:val="00985767"/>
    <w:rsid w:val="00985848"/>
    <w:rsid w:val="00985F23"/>
    <w:rsid w:val="0098641A"/>
    <w:rsid w:val="009865F1"/>
    <w:rsid w:val="00986768"/>
    <w:rsid w:val="00986777"/>
    <w:rsid w:val="00986913"/>
    <w:rsid w:val="00986A66"/>
    <w:rsid w:val="00986C8E"/>
    <w:rsid w:val="0098792B"/>
    <w:rsid w:val="00987AAB"/>
    <w:rsid w:val="00987F5C"/>
    <w:rsid w:val="00990089"/>
    <w:rsid w:val="00990770"/>
    <w:rsid w:val="0099080F"/>
    <w:rsid w:val="00990A72"/>
    <w:rsid w:val="00990FB9"/>
    <w:rsid w:val="00991D77"/>
    <w:rsid w:val="00991EDA"/>
    <w:rsid w:val="00992578"/>
    <w:rsid w:val="009927BC"/>
    <w:rsid w:val="009929BD"/>
    <w:rsid w:val="00992A92"/>
    <w:rsid w:val="00992A98"/>
    <w:rsid w:val="00992D0E"/>
    <w:rsid w:val="00993124"/>
    <w:rsid w:val="00993198"/>
    <w:rsid w:val="0099354E"/>
    <w:rsid w:val="0099399C"/>
    <w:rsid w:val="00993CAE"/>
    <w:rsid w:val="00994998"/>
    <w:rsid w:val="00994CFB"/>
    <w:rsid w:val="00994E9F"/>
    <w:rsid w:val="00995394"/>
    <w:rsid w:val="00995500"/>
    <w:rsid w:val="00995617"/>
    <w:rsid w:val="009959F3"/>
    <w:rsid w:val="00995A89"/>
    <w:rsid w:val="00995B5A"/>
    <w:rsid w:val="00995D3E"/>
    <w:rsid w:val="00995F02"/>
    <w:rsid w:val="00995FEB"/>
    <w:rsid w:val="0099600B"/>
    <w:rsid w:val="00996E84"/>
    <w:rsid w:val="00997039"/>
    <w:rsid w:val="009972A3"/>
    <w:rsid w:val="00997714"/>
    <w:rsid w:val="009977C1"/>
    <w:rsid w:val="0099787E"/>
    <w:rsid w:val="00997941"/>
    <w:rsid w:val="009979FF"/>
    <w:rsid w:val="00997B7A"/>
    <w:rsid w:val="00997E6B"/>
    <w:rsid w:val="009A0572"/>
    <w:rsid w:val="009A05AE"/>
    <w:rsid w:val="009A0666"/>
    <w:rsid w:val="009A0A83"/>
    <w:rsid w:val="009A0D40"/>
    <w:rsid w:val="009A0EBC"/>
    <w:rsid w:val="009A0F2E"/>
    <w:rsid w:val="009A13F5"/>
    <w:rsid w:val="009A1BE2"/>
    <w:rsid w:val="009A1E37"/>
    <w:rsid w:val="009A22B8"/>
    <w:rsid w:val="009A2833"/>
    <w:rsid w:val="009A2E20"/>
    <w:rsid w:val="009A3298"/>
    <w:rsid w:val="009A383B"/>
    <w:rsid w:val="009A3AC9"/>
    <w:rsid w:val="009A3D68"/>
    <w:rsid w:val="009A3DB5"/>
    <w:rsid w:val="009A3DC2"/>
    <w:rsid w:val="009A3F2F"/>
    <w:rsid w:val="009A44B8"/>
    <w:rsid w:val="009A4567"/>
    <w:rsid w:val="009A48B4"/>
    <w:rsid w:val="009A49C6"/>
    <w:rsid w:val="009A4B33"/>
    <w:rsid w:val="009A4B36"/>
    <w:rsid w:val="009A506E"/>
    <w:rsid w:val="009A5659"/>
    <w:rsid w:val="009A587F"/>
    <w:rsid w:val="009A58CE"/>
    <w:rsid w:val="009A6205"/>
    <w:rsid w:val="009A6473"/>
    <w:rsid w:val="009A712A"/>
    <w:rsid w:val="009A7145"/>
    <w:rsid w:val="009A72BC"/>
    <w:rsid w:val="009A77C1"/>
    <w:rsid w:val="009B02C2"/>
    <w:rsid w:val="009B05B5"/>
    <w:rsid w:val="009B06DA"/>
    <w:rsid w:val="009B09A7"/>
    <w:rsid w:val="009B0F1C"/>
    <w:rsid w:val="009B16CE"/>
    <w:rsid w:val="009B1764"/>
    <w:rsid w:val="009B1A35"/>
    <w:rsid w:val="009B2102"/>
    <w:rsid w:val="009B2113"/>
    <w:rsid w:val="009B23D1"/>
    <w:rsid w:val="009B2503"/>
    <w:rsid w:val="009B27A7"/>
    <w:rsid w:val="009B3030"/>
    <w:rsid w:val="009B38D2"/>
    <w:rsid w:val="009B396E"/>
    <w:rsid w:val="009B3CDD"/>
    <w:rsid w:val="009B4BBA"/>
    <w:rsid w:val="009B4DED"/>
    <w:rsid w:val="009B563B"/>
    <w:rsid w:val="009B6113"/>
    <w:rsid w:val="009B62FE"/>
    <w:rsid w:val="009B72F3"/>
    <w:rsid w:val="009B74C6"/>
    <w:rsid w:val="009B753E"/>
    <w:rsid w:val="009B7E2E"/>
    <w:rsid w:val="009C007D"/>
    <w:rsid w:val="009C058B"/>
    <w:rsid w:val="009C0726"/>
    <w:rsid w:val="009C079F"/>
    <w:rsid w:val="009C0ADA"/>
    <w:rsid w:val="009C0CA8"/>
    <w:rsid w:val="009C1989"/>
    <w:rsid w:val="009C1B45"/>
    <w:rsid w:val="009C2D86"/>
    <w:rsid w:val="009C2E62"/>
    <w:rsid w:val="009C3195"/>
    <w:rsid w:val="009C32EC"/>
    <w:rsid w:val="009C37A5"/>
    <w:rsid w:val="009C380A"/>
    <w:rsid w:val="009C3813"/>
    <w:rsid w:val="009C4161"/>
    <w:rsid w:val="009C4357"/>
    <w:rsid w:val="009C43A2"/>
    <w:rsid w:val="009C44E3"/>
    <w:rsid w:val="009C5123"/>
    <w:rsid w:val="009C52F0"/>
    <w:rsid w:val="009C531B"/>
    <w:rsid w:val="009C5AAC"/>
    <w:rsid w:val="009C5BC1"/>
    <w:rsid w:val="009C6007"/>
    <w:rsid w:val="009C6127"/>
    <w:rsid w:val="009C67FC"/>
    <w:rsid w:val="009C711A"/>
    <w:rsid w:val="009C721D"/>
    <w:rsid w:val="009C7414"/>
    <w:rsid w:val="009C778C"/>
    <w:rsid w:val="009C77D8"/>
    <w:rsid w:val="009C7D7D"/>
    <w:rsid w:val="009D04B4"/>
    <w:rsid w:val="009D0E70"/>
    <w:rsid w:val="009D1249"/>
    <w:rsid w:val="009D1B9C"/>
    <w:rsid w:val="009D2259"/>
    <w:rsid w:val="009D2330"/>
    <w:rsid w:val="009D26AB"/>
    <w:rsid w:val="009D270E"/>
    <w:rsid w:val="009D2814"/>
    <w:rsid w:val="009D2AFD"/>
    <w:rsid w:val="009D2B56"/>
    <w:rsid w:val="009D31E0"/>
    <w:rsid w:val="009D3235"/>
    <w:rsid w:val="009D328B"/>
    <w:rsid w:val="009D3840"/>
    <w:rsid w:val="009D3A79"/>
    <w:rsid w:val="009D3B60"/>
    <w:rsid w:val="009D3F5F"/>
    <w:rsid w:val="009D4C88"/>
    <w:rsid w:val="009D5060"/>
    <w:rsid w:val="009D520C"/>
    <w:rsid w:val="009D53F1"/>
    <w:rsid w:val="009D563F"/>
    <w:rsid w:val="009D5798"/>
    <w:rsid w:val="009D6578"/>
    <w:rsid w:val="009D6C3A"/>
    <w:rsid w:val="009D6C7D"/>
    <w:rsid w:val="009D7429"/>
    <w:rsid w:val="009D77BC"/>
    <w:rsid w:val="009D7D82"/>
    <w:rsid w:val="009D7F86"/>
    <w:rsid w:val="009E013F"/>
    <w:rsid w:val="009E0310"/>
    <w:rsid w:val="009E08A7"/>
    <w:rsid w:val="009E1081"/>
    <w:rsid w:val="009E1128"/>
    <w:rsid w:val="009E1766"/>
    <w:rsid w:val="009E1D6B"/>
    <w:rsid w:val="009E222E"/>
    <w:rsid w:val="009E2265"/>
    <w:rsid w:val="009E2592"/>
    <w:rsid w:val="009E2656"/>
    <w:rsid w:val="009E2FD1"/>
    <w:rsid w:val="009E33DA"/>
    <w:rsid w:val="009E35E4"/>
    <w:rsid w:val="009E3643"/>
    <w:rsid w:val="009E401C"/>
    <w:rsid w:val="009E4AE6"/>
    <w:rsid w:val="009E4C7D"/>
    <w:rsid w:val="009E4F01"/>
    <w:rsid w:val="009E4F0C"/>
    <w:rsid w:val="009E5923"/>
    <w:rsid w:val="009E5C37"/>
    <w:rsid w:val="009E5ED7"/>
    <w:rsid w:val="009E6004"/>
    <w:rsid w:val="009E621E"/>
    <w:rsid w:val="009E6612"/>
    <w:rsid w:val="009E695F"/>
    <w:rsid w:val="009E6AC3"/>
    <w:rsid w:val="009E6F9E"/>
    <w:rsid w:val="009E718B"/>
    <w:rsid w:val="009E750F"/>
    <w:rsid w:val="009E783E"/>
    <w:rsid w:val="009E7AF4"/>
    <w:rsid w:val="009E7BE3"/>
    <w:rsid w:val="009F00DA"/>
    <w:rsid w:val="009F00E5"/>
    <w:rsid w:val="009F010F"/>
    <w:rsid w:val="009F021F"/>
    <w:rsid w:val="009F1255"/>
    <w:rsid w:val="009F18B8"/>
    <w:rsid w:val="009F1CB5"/>
    <w:rsid w:val="009F1E52"/>
    <w:rsid w:val="009F2530"/>
    <w:rsid w:val="009F27C1"/>
    <w:rsid w:val="009F27F4"/>
    <w:rsid w:val="009F2BC7"/>
    <w:rsid w:val="009F2D67"/>
    <w:rsid w:val="009F34DE"/>
    <w:rsid w:val="009F3938"/>
    <w:rsid w:val="009F3C25"/>
    <w:rsid w:val="009F3C72"/>
    <w:rsid w:val="009F455A"/>
    <w:rsid w:val="009F4578"/>
    <w:rsid w:val="009F464A"/>
    <w:rsid w:val="009F4962"/>
    <w:rsid w:val="009F525F"/>
    <w:rsid w:val="009F53EF"/>
    <w:rsid w:val="009F5CEE"/>
    <w:rsid w:val="009F5E65"/>
    <w:rsid w:val="009F6219"/>
    <w:rsid w:val="009F62D1"/>
    <w:rsid w:val="009F6802"/>
    <w:rsid w:val="009F6860"/>
    <w:rsid w:val="009F72F6"/>
    <w:rsid w:val="009F7632"/>
    <w:rsid w:val="009F7CF1"/>
    <w:rsid w:val="009F7DBF"/>
    <w:rsid w:val="00A00566"/>
    <w:rsid w:val="00A00707"/>
    <w:rsid w:val="00A00A1A"/>
    <w:rsid w:val="00A00C7D"/>
    <w:rsid w:val="00A01B5D"/>
    <w:rsid w:val="00A023A6"/>
    <w:rsid w:val="00A02731"/>
    <w:rsid w:val="00A02820"/>
    <w:rsid w:val="00A0288F"/>
    <w:rsid w:val="00A02A46"/>
    <w:rsid w:val="00A02A7B"/>
    <w:rsid w:val="00A02EEA"/>
    <w:rsid w:val="00A03611"/>
    <w:rsid w:val="00A0361A"/>
    <w:rsid w:val="00A036F9"/>
    <w:rsid w:val="00A03BBE"/>
    <w:rsid w:val="00A03DB4"/>
    <w:rsid w:val="00A03ED9"/>
    <w:rsid w:val="00A0478E"/>
    <w:rsid w:val="00A04B25"/>
    <w:rsid w:val="00A04DED"/>
    <w:rsid w:val="00A04E68"/>
    <w:rsid w:val="00A05056"/>
    <w:rsid w:val="00A055BB"/>
    <w:rsid w:val="00A0585C"/>
    <w:rsid w:val="00A05D5B"/>
    <w:rsid w:val="00A05EF7"/>
    <w:rsid w:val="00A0634D"/>
    <w:rsid w:val="00A0642B"/>
    <w:rsid w:val="00A06586"/>
    <w:rsid w:val="00A06603"/>
    <w:rsid w:val="00A06682"/>
    <w:rsid w:val="00A066C8"/>
    <w:rsid w:val="00A0685F"/>
    <w:rsid w:val="00A06862"/>
    <w:rsid w:val="00A06B5B"/>
    <w:rsid w:val="00A06E94"/>
    <w:rsid w:val="00A1010E"/>
    <w:rsid w:val="00A10AFA"/>
    <w:rsid w:val="00A10F4D"/>
    <w:rsid w:val="00A1103E"/>
    <w:rsid w:val="00A11546"/>
    <w:rsid w:val="00A11918"/>
    <w:rsid w:val="00A11984"/>
    <w:rsid w:val="00A11A18"/>
    <w:rsid w:val="00A124E6"/>
    <w:rsid w:val="00A128AE"/>
    <w:rsid w:val="00A137A1"/>
    <w:rsid w:val="00A13C32"/>
    <w:rsid w:val="00A13D56"/>
    <w:rsid w:val="00A149F5"/>
    <w:rsid w:val="00A14C24"/>
    <w:rsid w:val="00A14D7F"/>
    <w:rsid w:val="00A15525"/>
    <w:rsid w:val="00A15BA8"/>
    <w:rsid w:val="00A16484"/>
    <w:rsid w:val="00A168C4"/>
    <w:rsid w:val="00A16948"/>
    <w:rsid w:val="00A16AE5"/>
    <w:rsid w:val="00A16E2B"/>
    <w:rsid w:val="00A1724D"/>
    <w:rsid w:val="00A175E1"/>
    <w:rsid w:val="00A17FF0"/>
    <w:rsid w:val="00A200CD"/>
    <w:rsid w:val="00A20192"/>
    <w:rsid w:val="00A20495"/>
    <w:rsid w:val="00A2056A"/>
    <w:rsid w:val="00A20A93"/>
    <w:rsid w:val="00A20D50"/>
    <w:rsid w:val="00A215F8"/>
    <w:rsid w:val="00A21999"/>
    <w:rsid w:val="00A219D1"/>
    <w:rsid w:val="00A21A8C"/>
    <w:rsid w:val="00A21F6C"/>
    <w:rsid w:val="00A22038"/>
    <w:rsid w:val="00A224C4"/>
    <w:rsid w:val="00A22705"/>
    <w:rsid w:val="00A22B1F"/>
    <w:rsid w:val="00A23EDF"/>
    <w:rsid w:val="00A24249"/>
    <w:rsid w:val="00A24504"/>
    <w:rsid w:val="00A247D0"/>
    <w:rsid w:val="00A24CDD"/>
    <w:rsid w:val="00A24FCA"/>
    <w:rsid w:val="00A25F90"/>
    <w:rsid w:val="00A260DE"/>
    <w:rsid w:val="00A26135"/>
    <w:rsid w:val="00A262DA"/>
    <w:rsid w:val="00A269B3"/>
    <w:rsid w:val="00A26C81"/>
    <w:rsid w:val="00A26FF8"/>
    <w:rsid w:val="00A27E1E"/>
    <w:rsid w:val="00A3032C"/>
    <w:rsid w:val="00A3057B"/>
    <w:rsid w:val="00A30B22"/>
    <w:rsid w:val="00A30EEB"/>
    <w:rsid w:val="00A30F21"/>
    <w:rsid w:val="00A310C8"/>
    <w:rsid w:val="00A316E3"/>
    <w:rsid w:val="00A31710"/>
    <w:rsid w:val="00A31770"/>
    <w:rsid w:val="00A31A74"/>
    <w:rsid w:val="00A31B7D"/>
    <w:rsid w:val="00A325F7"/>
    <w:rsid w:val="00A32634"/>
    <w:rsid w:val="00A3264F"/>
    <w:rsid w:val="00A32F9C"/>
    <w:rsid w:val="00A33206"/>
    <w:rsid w:val="00A3322E"/>
    <w:rsid w:val="00A3338C"/>
    <w:rsid w:val="00A34404"/>
    <w:rsid w:val="00A3461E"/>
    <w:rsid w:val="00A34623"/>
    <w:rsid w:val="00A34D61"/>
    <w:rsid w:val="00A35103"/>
    <w:rsid w:val="00A35974"/>
    <w:rsid w:val="00A36219"/>
    <w:rsid w:val="00A36248"/>
    <w:rsid w:val="00A36BCB"/>
    <w:rsid w:val="00A374A3"/>
    <w:rsid w:val="00A37B3A"/>
    <w:rsid w:val="00A37FB5"/>
    <w:rsid w:val="00A40252"/>
    <w:rsid w:val="00A4050B"/>
    <w:rsid w:val="00A405CD"/>
    <w:rsid w:val="00A411A9"/>
    <w:rsid w:val="00A4179C"/>
    <w:rsid w:val="00A4191C"/>
    <w:rsid w:val="00A41C24"/>
    <w:rsid w:val="00A42074"/>
    <w:rsid w:val="00A424DB"/>
    <w:rsid w:val="00A42527"/>
    <w:rsid w:val="00A42663"/>
    <w:rsid w:val="00A4290B"/>
    <w:rsid w:val="00A42E49"/>
    <w:rsid w:val="00A42F52"/>
    <w:rsid w:val="00A43CAF"/>
    <w:rsid w:val="00A43D51"/>
    <w:rsid w:val="00A450AC"/>
    <w:rsid w:val="00A45D62"/>
    <w:rsid w:val="00A45FD7"/>
    <w:rsid w:val="00A46026"/>
    <w:rsid w:val="00A46619"/>
    <w:rsid w:val="00A47239"/>
    <w:rsid w:val="00A47D1B"/>
    <w:rsid w:val="00A47D8D"/>
    <w:rsid w:val="00A50053"/>
    <w:rsid w:val="00A50447"/>
    <w:rsid w:val="00A50ABD"/>
    <w:rsid w:val="00A50C73"/>
    <w:rsid w:val="00A50FCA"/>
    <w:rsid w:val="00A51321"/>
    <w:rsid w:val="00A519F6"/>
    <w:rsid w:val="00A51B9B"/>
    <w:rsid w:val="00A51E6B"/>
    <w:rsid w:val="00A51F14"/>
    <w:rsid w:val="00A51F7D"/>
    <w:rsid w:val="00A524A6"/>
    <w:rsid w:val="00A5274F"/>
    <w:rsid w:val="00A532BE"/>
    <w:rsid w:val="00A53801"/>
    <w:rsid w:val="00A54B03"/>
    <w:rsid w:val="00A54E95"/>
    <w:rsid w:val="00A551D9"/>
    <w:rsid w:val="00A55359"/>
    <w:rsid w:val="00A557A2"/>
    <w:rsid w:val="00A557FF"/>
    <w:rsid w:val="00A55A04"/>
    <w:rsid w:val="00A55D90"/>
    <w:rsid w:val="00A55F70"/>
    <w:rsid w:val="00A561B6"/>
    <w:rsid w:val="00A5659C"/>
    <w:rsid w:val="00A56809"/>
    <w:rsid w:val="00A568DF"/>
    <w:rsid w:val="00A56941"/>
    <w:rsid w:val="00A57119"/>
    <w:rsid w:val="00A572F1"/>
    <w:rsid w:val="00A57FD4"/>
    <w:rsid w:val="00A60217"/>
    <w:rsid w:val="00A607B9"/>
    <w:rsid w:val="00A6134F"/>
    <w:rsid w:val="00A621E2"/>
    <w:rsid w:val="00A62278"/>
    <w:rsid w:val="00A62A3E"/>
    <w:rsid w:val="00A62D53"/>
    <w:rsid w:val="00A62FEF"/>
    <w:rsid w:val="00A63454"/>
    <w:rsid w:val="00A63494"/>
    <w:rsid w:val="00A63688"/>
    <w:rsid w:val="00A63C11"/>
    <w:rsid w:val="00A63CA1"/>
    <w:rsid w:val="00A64B49"/>
    <w:rsid w:val="00A65043"/>
    <w:rsid w:val="00A65A05"/>
    <w:rsid w:val="00A65A81"/>
    <w:rsid w:val="00A65ADD"/>
    <w:rsid w:val="00A65C4A"/>
    <w:rsid w:val="00A6677D"/>
    <w:rsid w:val="00A667EC"/>
    <w:rsid w:val="00A66AE3"/>
    <w:rsid w:val="00A66FB4"/>
    <w:rsid w:val="00A673AF"/>
    <w:rsid w:val="00A67C44"/>
    <w:rsid w:val="00A67F06"/>
    <w:rsid w:val="00A70312"/>
    <w:rsid w:val="00A70FA0"/>
    <w:rsid w:val="00A7129F"/>
    <w:rsid w:val="00A713A8"/>
    <w:rsid w:val="00A713B2"/>
    <w:rsid w:val="00A713C3"/>
    <w:rsid w:val="00A71A16"/>
    <w:rsid w:val="00A7320C"/>
    <w:rsid w:val="00A73395"/>
    <w:rsid w:val="00A73478"/>
    <w:rsid w:val="00A73E7F"/>
    <w:rsid w:val="00A741FA"/>
    <w:rsid w:val="00A742B7"/>
    <w:rsid w:val="00A74836"/>
    <w:rsid w:val="00A748DA"/>
    <w:rsid w:val="00A74941"/>
    <w:rsid w:val="00A74CF6"/>
    <w:rsid w:val="00A74D1B"/>
    <w:rsid w:val="00A74DBF"/>
    <w:rsid w:val="00A74F24"/>
    <w:rsid w:val="00A75391"/>
    <w:rsid w:val="00A75D7F"/>
    <w:rsid w:val="00A762C5"/>
    <w:rsid w:val="00A762FC"/>
    <w:rsid w:val="00A76703"/>
    <w:rsid w:val="00A767F3"/>
    <w:rsid w:val="00A76B3B"/>
    <w:rsid w:val="00A76C08"/>
    <w:rsid w:val="00A770E3"/>
    <w:rsid w:val="00A77611"/>
    <w:rsid w:val="00A77960"/>
    <w:rsid w:val="00A77BE4"/>
    <w:rsid w:val="00A77C58"/>
    <w:rsid w:val="00A802A1"/>
    <w:rsid w:val="00A80617"/>
    <w:rsid w:val="00A811ED"/>
    <w:rsid w:val="00A81423"/>
    <w:rsid w:val="00A81516"/>
    <w:rsid w:val="00A817DC"/>
    <w:rsid w:val="00A81819"/>
    <w:rsid w:val="00A81940"/>
    <w:rsid w:val="00A81AB5"/>
    <w:rsid w:val="00A81CAB"/>
    <w:rsid w:val="00A8214E"/>
    <w:rsid w:val="00A82528"/>
    <w:rsid w:val="00A8309C"/>
    <w:rsid w:val="00A831B0"/>
    <w:rsid w:val="00A836A7"/>
    <w:rsid w:val="00A83A77"/>
    <w:rsid w:val="00A83C12"/>
    <w:rsid w:val="00A83EEB"/>
    <w:rsid w:val="00A8440E"/>
    <w:rsid w:val="00A8459B"/>
    <w:rsid w:val="00A8479C"/>
    <w:rsid w:val="00A8479E"/>
    <w:rsid w:val="00A84E27"/>
    <w:rsid w:val="00A84F8D"/>
    <w:rsid w:val="00A851A6"/>
    <w:rsid w:val="00A85325"/>
    <w:rsid w:val="00A8591B"/>
    <w:rsid w:val="00A860E8"/>
    <w:rsid w:val="00A86A7A"/>
    <w:rsid w:val="00A86C87"/>
    <w:rsid w:val="00A86CD2"/>
    <w:rsid w:val="00A86EBE"/>
    <w:rsid w:val="00A874D7"/>
    <w:rsid w:val="00A90249"/>
    <w:rsid w:val="00A90385"/>
    <w:rsid w:val="00A904BF"/>
    <w:rsid w:val="00A915EA"/>
    <w:rsid w:val="00A9193B"/>
    <w:rsid w:val="00A91A93"/>
    <w:rsid w:val="00A91E39"/>
    <w:rsid w:val="00A9262A"/>
    <w:rsid w:val="00A92895"/>
    <w:rsid w:val="00A92D1E"/>
    <w:rsid w:val="00A92DEB"/>
    <w:rsid w:val="00A92F0B"/>
    <w:rsid w:val="00A932FF"/>
    <w:rsid w:val="00A93665"/>
    <w:rsid w:val="00A93CE5"/>
    <w:rsid w:val="00A93F92"/>
    <w:rsid w:val="00A9455E"/>
    <w:rsid w:val="00A948DD"/>
    <w:rsid w:val="00A94B05"/>
    <w:rsid w:val="00A94D13"/>
    <w:rsid w:val="00A94DFA"/>
    <w:rsid w:val="00A95459"/>
    <w:rsid w:val="00A95631"/>
    <w:rsid w:val="00A956AB"/>
    <w:rsid w:val="00A95B3A"/>
    <w:rsid w:val="00A95B8B"/>
    <w:rsid w:val="00A96296"/>
    <w:rsid w:val="00A96624"/>
    <w:rsid w:val="00A9674E"/>
    <w:rsid w:val="00A96BF2"/>
    <w:rsid w:val="00A96C6F"/>
    <w:rsid w:val="00A96CBC"/>
    <w:rsid w:val="00A96E96"/>
    <w:rsid w:val="00A9701C"/>
    <w:rsid w:val="00A970C1"/>
    <w:rsid w:val="00A970F4"/>
    <w:rsid w:val="00A9715C"/>
    <w:rsid w:val="00A97236"/>
    <w:rsid w:val="00A97337"/>
    <w:rsid w:val="00A97438"/>
    <w:rsid w:val="00AA1378"/>
    <w:rsid w:val="00AA1542"/>
    <w:rsid w:val="00AA15FB"/>
    <w:rsid w:val="00AA1956"/>
    <w:rsid w:val="00AA1D5F"/>
    <w:rsid w:val="00AA1F77"/>
    <w:rsid w:val="00AA20CA"/>
    <w:rsid w:val="00AA22D5"/>
    <w:rsid w:val="00AA2616"/>
    <w:rsid w:val="00AA26D4"/>
    <w:rsid w:val="00AA271D"/>
    <w:rsid w:val="00AA27A7"/>
    <w:rsid w:val="00AA29DA"/>
    <w:rsid w:val="00AA2A58"/>
    <w:rsid w:val="00AA2AF9"/>
    <w:rsid w:val="00AA2FD9"/>
    <w:rsid w:val="00AA3B2D"/>
    <w:rsid w:val="00AA3E52"/>
    <w:rsid w:val="00AA4259"/>
    <w:rsid w:val="00AA43A0"/>
    <w:rsid w:val="00AA4AC5"/>
    <w:rsid w:val="00AA4E3C"/>
    <w:rsid w:val="00AA4F5C"/>
    <w:rsid w:val="00AA6287"/>
    <w:rsid w:val="00AA62F6"/>
    <w:rsid w:val="00AA6319"/>
    <w:rsid w:val="00AA6B85"/>
    <w:rsid w:val="00AA70EB"/>
    <w:rsid w:val="00AA7DE9"/>
    <w:rsid w:val="00AB0AE7"/>
    <w:rsid w:val="00AB1465"/>
    <w:rsid w:val="00AB1723"/>
    <w:rsid w:val="00AB1B5A"/>
    <w:rsid w:val="00AB2617"/>
    <w:rsid w:val="00AB2B0B"/>
    <w:rsid w:val="00AB3A03"/>
    <w:rsid w:val="00AB3D20"/>
    <w:rsid w:val="00AB3FB5"/>
    <w:rsid w:val="00AB4557"/>
    <w:rsid w:val="00AB4A45"/>
    <w:rsid w:val="00AB4AA3"/>
    <w:rsid w:val="00AB4AD6"/>
    <w:rsid w:val="00AB4D22"/>
    <w:rsid w:val="00AB520A"/>
    <w:rsid w:val="00AB531B"/>
    <w:rsid w:val="00AB56FA"/>
    <w:rsid w:val="00AB5B9D"/>
    <w:rsid w:val="00AB5CAE"/>
    <w:rsid w:val="00AB5F53"/>
    <w:rsid w:val="00AB6D07"/>
    <w:rsid w:val="00AB746D"/>
    <w:rsid w:val="00AB7880"/>
    <w:rsid w:val="00AB7C20"/>
    <w:rsid w:val="00AB7C42"/>
    <w:rsid w:val="00AB7F7D"/>
    <w:rsid w:val="00AC00A2"/>
    <w:rsid w:val="00AC0344"/>
    <w:rsid w:val="00AC0882"/>
    <w:rsid w:val="00AC0981"/>
    <w:rsid w:val="00AC0A02"/>
    <w:rsid w:val="00AC0E48"/>
    <w:rsid w:val="00AC2270"/>
    <w:rsid w:val="00AC253E"/>
    <w:rsid w:val="00AC29A8"/>
    <w:rsid w:val="00AC29F7"/>
    <w:rsid w:val="00AC2B4B"/>
    <w:rsid w:val="00AC310A"/>
    <w:rsid w:val="00AC3F09"/>
    <w:rsid w:val="00AC40A1"/>
    <w:rsid w:val="00AC4434"/>
    <w:rsid w:val="00AC494A"/>
    <w:rsid w:val="00AC4A01"/>
    <w:rsid w:val="00AC4DCC"/>
    <w:rsid w:val="00AC5202"/>
    <w:rsid w:val="00AC52F4"/>
    <w:rsid w:val="00AC5DE1"/>
    <w:rsid w:val="00AC5EBF"/>
    <w:rsid w:val="00AC6353"/>
    <w:rsid w:val="00AC6437"/>
    <w:rsid w:val="00AC68A3"/>
    <w:rsid w:val="00AC6F2F"/>
    <w:rsid w:val="00AC6F94"/>
    <w:rsid w:val="00AC794E"/>
    <w:rsid w:val="00AC7BEA"/>
    <w:rsid w:val="00AC7DAA"/>
    <w:rsid w:val="00AD0048"/>
    <w:rsid w:val="00AD0112"/>
    <w:rsid w:val="00AD0474"/>
    <w:rsid w:val="00AD0956"/>
    <w:rsid w:val="00AD0D48"/>
    <w:rsid w:val="00AD177A"/>
    <w:rsid w:val="00AD2BBA"/>
    <w:rsid w:val="00AD3350"/>
    <w:rsid w:val="00AD3825"/>
    <w:rsid w:val="00AD3876"/>
    <w:rsid w:val="00AD3ACB"/>
    <w:rsid w:val="00AD401C"/>
    <w:rsid w:val="00AD42D0"/>
    <w:rsid w:val="00AD431A"/>
    <w:rsid w:val="00AD454A"/>
    <w:rsid w:val="00AD4DE7"/>
    <w:rsid w:val="00AD5416"/>
    <w:rsid w:val="00AD56CE"/>
    <w:rsid w:val="00AD60A6"/>
    <w:rsid w:val="00AD6287"/>
    <w:rsid w:val="00AD630C"/>
    <w:rsid w:val="00AD6F8F"/>
    <w:rsid w:val="00AD772E"/>
    <w:rsid w:val="00AD7C69"/>
    <w:rsid w:val="00AD7F32"/>
    <w:rsid w:val="00AE059F"/>
    <w:rsid w:val="00AE079E"/>
    <w:rsid w:val="00AE10BF"/>
    <w:rsid w:val="00AE17AC"/>
    <w:rsid w:val="00AE1891"/>
    <w:rsid w:val="00AE1C82"/>
    <w:rsid w:val="00AE29F8"/>
    <w:rsid w:val="00AE334A"/>
    <w:rsid w:val="00AE3627"/>
    <w:rsid w:val="00AE3AE0"/>
    <w:rsid w:val="00AE3C96"/>
    <w:rsid w:val="00AE3D96"/>
    <w:rsid w:val="00AE3EF0"/>
    <w:rsid w:val="00AE42C5"/>
    <w:rsid w:val="00AE47BA"/>
    <w:rsid w:val="00AE49E2"/>
    <w:rsid w:val="00AE4C57"/>
    <w:rsid w:val="00AE500E"/>
    <w:rsid w:val="00AE5055"/>
    <w:rsid w:val="00AE5756"/>
    <w:rsid w:val="00AE5AC1"/>
    <w:rsid w:val="00AE5B8C"/>
    <w:rsid w:val="00AE6277"/>
    <w:rsid w:val="00AE65BF"/>
    <w:rsid w:val="00AE6894"/>
    <w:rsid w:val="00AE68A1"/>
    <w:rsid w:val="00AE6A6C"/>
    <w:rsid w:val="00AE6C1A"/>
    <w:rsid w:val="00AE706E"/>
    <w:rsid w:val="00AE742C"/>
    <w:rsid w:val="00AE7702"/>
    <w:rsid w:val="00AF0069"/>
    <w:rsid w:val="00AF03C0"/>
    <w:rsid w:val="00AF08F5"/>
    <w:rsid w:val="00AF0AE3"/>
    <w:rsid w:val="00AF13D1"/>
    <w:rsid w:val="00AF141B"/>
    <w:rsid w:val="00AF1529"/>
    <w:rsid w:val="00AF18E7"/>
    <w:rsid w:val="00AF1AE1"/>
    <w:rsid w:val="00AF2A25"/>
    <w:rsid w:val="00AF2FAE"/>
    <w:rsid w:val="00AF3172"/>
    <w:rsid w:val="00AF3539"/>
    <w:rsid w:val="00AF3571"/>
    <w:rsid w:val="00AF3623"/>
    <w:rsid w:val="00AF3732"/>
    <w:rsid w:val="00AF394A"/>
    <w:rsid w:val="00AF3953"/>
    <w:rsid w:val="00AF3A81"/>
    <w:rsid w:val="00AF3EE4"/>
    <w:rsid w:val="00AF404D"/>
    <w:rsid w:val="00AF45E5"/>
    <w:rsid w:val="00AF48DC"/>
    <w:rsid w:val="00AF4AA4"/>
    <w:rsid w:val="00AF4F2D"/>
    <w:rsid w:val="00AF5D2C"/>
    <w:rsid w:val="00AF5ECB"/>
    <w:rsid w:val="00AF6041"/>
    <w:rsid w:val="00AF6344"/>
    <w:rsid w:val="00AF65D9"/>
    <w:rsid w:val="00AF6744"/>
    <w:rsid w:val="00AF6758"/>
    <w:rsid w:val="00AF6C34"/>
    <w:rsid w:val="00AF6D00"/>
    <w:rsid w:val="00AF713B"/>
    <w:rsid w:val="00AF7309"/>
    <w:rsid w:val="00AF7571"/>
    <w:rsid w:val="00AF77A9"/>
    <w:rsid w:val="00AF7C4C"/>
    <w:rsid w:val="00AF7C7E"/>
    <w:rsid w:val="00B0013C"/>
    <w:rsid w:val="00B0028C"/>
    <w:rsid w:val="00B0046B"/>
    <w:rsid w:val="00B00748"/>
    <w:rsid w:val="00B00C14"/>
    <w:rsid w:val="00B00DC4"/>
    <w:rsid w:val="00B01866"/>
    <w:rsid w:val="00B028C3"/>
    <w:rsid w:val="00B02925"/>
    <w:rsid w:val="00B02CAF"/>
    <w:rsid w:val="00B02EBA"/>
    <w:rsid w:val="00B0332A"/>
    <w:rsid w:val="00B0342C"/>
    <w:rsid w:val="00B03882"/>
    <w:rsid w:val="00B03B51"/>
    <w:rsid w:val="00B04331"/>
    <w:rsid w:val="00B04525"/>
    <w:rsid w:val="00B0453B"/>
    <w:rsid w:val="00B049DC"/>
    <w:rsid w:val="00B04C3E"/>
    <w:rsid w:val="00B05131"/>
    <w:rsid w:val="00B0557B"/>
    <w:rsid w:val="00B0563B"/>
    <w:rsid w:val="00B05844"/>
    <w:rsid w:val="00B059D4"/>
    <w:rsid w:val="00B05BCA"/>
    <w:rsid w:val="00B062B9"/>
    <w:rsid w:val="00B06752"/>
    <w:rsid w:val="00B06F9B"/>
    <w:rsid w:val="00B07360"/>
    <w:rsid w:val="00B07A3E"/>
    <w:rsid w:val="00B07BC0"/>
    <w:rsid w:val="00B10035"/>
    <w:rsid w:val="00B100CE"/>
    <w:rsid w:val="00B10F94"/>
    <w:rsid w:val="00B111F7"/>
    <w:rsid w:val="00B1141D"/>
    <w:rsid w:val="00B11B6C"/>
    <w:rsid w:val="00B11C18"/>
    <w:rsid w:val="00B11D6D"/>
    <w:rsid w:val="00B125AB"/>
    <w:rsid w:val="00B1262F"/>
    <w:rsid w:val="00B12663"/>
    <w:rsid w:val="00B12695"/>
    <w:rsid w:val="00B12C59"/>
    <w:rsid w:val="00B12E4F"/>
    <w:rsid w:val="00B12E56"/>
    <w:rsid w:val="00B13533"/>
    <w:rsid w:val="00B135A2"/>
    <w:rsid w:val="00B13B39"/>
    <w:rsid w:val="00B13B62"/>
    <w:rsid w:val="00B13C93"/>
    <w:rsid w:val="00B13D1A"/>
    <w:rsid w:val="00B141F6"/>
    <w:rsid w:val="00B143CC"/>
    <w:rsid w:val="00B14BDF"/>
    <w:rsid w:val="00B14E92"/>
    <w:rsid w:val="00B153CF"/>
    <w:rsid w:val="00B1582F"/>
    <w:rsid w:val="00B15FA0"/>
    <w:rsid w:val="00B160CF"/>
    <w:rsid w:val="00B1616A"/>
    <w:rsid w:val="00B1672B"/>
    <w:rsid w:val="00B16882"/>
    <w:rsid w:val="00B16BE0"/>
    <w:rsid w:val="00B16D9E"/>
    <w:rsid w:val="00B16F5E"/>
    <w:rsid w:val="00B16FAE"/>
    <w:rsid w:val="00B17225"/>
    <w:rsid w:val="00B178AE"/>
    <w:rsid w:val="00B17B0F"/>
    <w:rsid w:val="00B17BCA"/>
    <w:rsid w:val="00B20132"/>
    <w:rsid w:val="00B2018A"/>
    <w:rsid w:val="00B20624"/>
    <w:rsid w:val="00B206F3"/>
    <w:rsid w:val="00B208BE"/>
    <w:rsid w:val="00B20C12"/>
    <w:rsid w:val="00B20C3C"/>
    <w:rsid w:val="00B20C45"/>
    <w:rsid w:val="00B20E23"/>
    <w:rsid w:val="00B21033"/>
    <w:rsid w:val="00B2135B"/>
    <w:rsid w:val="00B217BE"/>
    <w:rsid w:val="00B2212E"/>
    <w:rsid w:val="00B22131"/>
    <w:rsid w:val="00B222C1"/>
    <w:rsid w:val="00B224D1"/>
    <w:rsid w:val="00B224D6"/>
    <w:rsid w:val="00B22524"/>
    <w:rsid w:val="00B226D9"/>
    <w:rsid w:val="00B22764"/>
    <w:rsid w:val="00B22B3C"/>
    <w:rsid w:val="00B22C7B"/>
    <w:rsid w:val="00B22CC5"/>
    <w:rsid w:val="00B22E04"/>
    <w:rsid w:val="00B23278"/>
    <w:rsid w:val="00B23606"/>
    <w:rsid w:val="00B236A5"/>
    <w:rsid w:val="00B242AB"/>
    <w:rsid w:val="00B24409"/>
    <w:rsid w:val="00B24567"/>
    <w:rsid w:val="00B24B72"/>
    <w:rsid w:val="00B255A0"/>
    <w:rsid w:val="00B25B30"/>
    <w:rsid w:val="00B25EAC"/>
    <w:rsid w:val="00B2676C"/>
    <w:rsid w:val="00B2680B"/>
    <w:rsid w:val="00B26E7C"/>
    <w:rsid w:val="00B26EA6"/>
    <w:rsid w:val="00B26EF4"/>
    <w:rsid w:val="00B2734D"/>
    <w:rsid w:val="00B275A1"/>
    <w:rsid w:val="00B27A27"/>
    <w:rsid w:val="00B27BB2"/>
    <w:rsid w:val="00B27D24"/>
    <w:rsid w:val="00B27D61"/>
    <w:rsid w:val="00B30264"/>
    <w:rsid w:val="00B30FB5"/>
    <w:rsid w:val="00B3105E"/>
    <w:rsid w:val="00B310F9"/>
    <w:rsid w:val="00B3157E"/>
    <w:rsid w:val="00B317B3"/>
    <w:rsid w:val="00B31EB1"/>
    <w:rsid w:val="00B31EDF"/>
    <w:rsid w:val="00B32217"/>
    <w:rsid w:val="00B32864"/>
    <w:rsid w:val="00B32869"/>
    <w:rsid w:val="00B329A3"/>
    <w:rsid w:val="00B32F9E"/>
    <w:rsid w:val="00B33A69"/>
    <w:rsid w:val="00B33CD7"/>
    <w:rsid w:val="00B34086"/>
    <w:rsid w:val="00B340DE"/>
    <w:rsid w:val="00B34154"/>
    <w:rsid w:val="00B346A1"/>
    <w:rsid w:val="00B34E40"/>
    <w:rsid w:val="00B353D4"/>
    <w:rsid w:val="00B356C3"/>
    <w:rsid w:val="00B36822"/>
    <w:rsid w:val="00B36BF5"/>
    <w:rsid w:val="00B36F5D"/>
    <w:rsid w:val="00B37D87"/>
    <w:rsid w:val="00B40249"/>
    <w:rsid w:val="00B40946"/>
    <w:rsid w:val="00B40C0B"/>
    <w:rsid w:val="00B40E6C"/>
    <w:rsid w:val="00B4189E"/>
    <w:rsid w:val="00B41A3F"/>
    <w:rsid w:val="00B41EE0"/>
    <w:rsid w:val="00B4218E"/>
    <w:rsid w:val="00B429A4"/>
    <w:rsid w:val="00B429FB"/>
    <w:rsid w:val="00B42B4A"/>
    <w:rsid w:val="00B42D1B"/>
    <w:rsid w:val="00B43632"/>
    <w:rsid w:val="00B43A0F"/>
    <w:rsid w:val="00B43A62"/>
    <w:rsid w:val="00B43AC4"/>
    <w:rsid w:val="00B43B18"/>
    <w:rsid w:val="00B441BD"/>
    <w:rsid w:val="00B44DB8"/>
    <w:rsid w:val="00B45532"/>
    <w:rsid w:val="00B45DCD"/>
    <w:rsid w:val="00B462A2"/>
    <w:rsid w:val="00B46F8A"/>
    <w:rsid w:val="00B47679"/>
    <w:rsid w:val="00B47901"/>
    <w:rsid w:val="00B47FC5"/>
    <w:rsid w:val="00B500AE"/>
    <w:rsid w:val="00B502C9"/>
    <w:rsid w:val="00B5058E"/>
    <w:rsid w:val="00B505BF"/>
    <w:rsid w:val="00B5099A"/>
    <w:rsid w:val="00B50AFB"/>
    <w:rsid w:val="00B50BD4"/>
    <w:rsid w:val="00B50D88"/>
    <w:rsid w:val="00B51388"/>
    <w:rsid w:val="00B513FF"/>
    <w:rsid w:val="00B515E2"/>
    <w:rsid w:val="00B5161A"/>
    <w:rsid w:val="00B5180D"/>
    <w:rsid w:val="00B51B4B"/>
    <w:rsid w:val="00B51C33"/>
    <w:rsid w:val="00B51C45"/>
    <w:rsid w:val="00B51EAD"/>
    <w:rsid w:val="00B51FBB"/>
    <w:rsid w:val="00B52BB0"/>
    <w:rsid w:val="00B52C74"/>
    <w:rsid w:val="00B53043"/>
    <w:rsid w:val="00B53094"/>
    <w:rsid w:val="00B5331E"/>
    <w:rsid w:val="00B53A3A"/>
    <w:rsid w:val="00B53FA7"/>
    <w:rsid w:val="00B54624"/>
    <w:rsid w:val="00B54BAE"/>
    <w:rsid w:val="00B54E40"/>
    <w:rsid w:val="00B54EB9"/>
    <w:rsid w:val="00B54EC7"/>
    <w:rsid w:val="00B5503B"/>
    <w:rsid w:val="00B5531E"/>
    <w:rsid w:val="00B554AE"/>
    <w:rsid w:val="00B554BF"/>
    <w:rsid w:val="00B558BA"/>
    <w:rsid w:val="00B558F4"/>
    <w:rsid w:val="00B55917"/>
    <w:rsid w:val="00B559C4"/>
    <w:rsid w:val="00B559DC"/>
    <w:rsid w:val="00B55A1A"/>
    <w:rsid w:val="00B56291"/>
    <w:rsid w:val="00B56333"/>
    <w:rsid w:val="00B5693A"/>
    <w:rsid w:val="00B56BED"/>
    <w:rsid w:val="00B56C52"/>
    <w:rsid w:val="00B57660"/>
    <w:rsid w:val="00B57A23"/>
    <w:rsid w:val="00B57DCD"/>
    <w:rsid w:val="00B60047"/>
    <w:rsid w:val="00B60556"/>
    <w:rsid w:val="00B60B8E"/>
    <w:rsid w:val="00B60F2D"/>
    <w:rsid w:val="00B610B0"/>
    <w:rsid w:val="00B612FC"/>
    <w:rsid w:val="00B61C91"/>
    <w:rsid w:val="00B61CC1"/>
    <w:rsid w:val="00B61E78"/>
    <w:rsid w:val="00B6285A"/>
    <w:rsid w:val="00B628FD"/>
    <w:rsid w:val="00B62F8C"/>
    <w:rsid w:val="00B6306C"/>
    <w:rsid w:val="00B636BA"/>
    <w:rsid w:val="00B63857"/>
    <w:rsid w:val="00B63CBC"/>
    <w:rsid w:val="00B6414F"/>
    <w:rsid w:val="00B6416A"/>
    <w:rsid w:val="00B644B2"/>
    <w:rsid w:val="00B6499F"/>
    <w:rsid w:val="00B64D18"/>
    <w:rsid w:val="00B64E31"/>
    <w:rsid w:val="00B65027"/>
    <w:rsid w:val="00B65BED"/>
    <w:rsid w:val="00B65E21"/>
    <w:rsid w:val="00B65E5B"/>
    <w:rsid w:val="00B65F52"/>
    <w:rsid w:val="00B65F88"/>
    <w:rsid w:val="00B66016"/>
    <w:rsid w:val="00B66157"/>
    <w:rsid w:val="00B665CC"/>
    <w:rsid w:val="00B668DB"/>
    <w:rsid w:val="00B66956"/>
    <w:rsid w:val="00B66A06"/>
    <w:rsid w:val="00B66DFA"/>
    <w:rsid w:val="00B6736C"/>
    <w:rsid w:val="00B67BEF"/>
    <w:rsid w:val="00B703CC"/>
    <w:rsid w:val="00B70B7A"/>
    <w:rsid w:val="00B71290"/>
    <w:rsid w:val="00B7131A"/>
    <w:rsid w:val="00B720AD"/>
    <w:rsid w:val="00B7215D"/>
    <w:rsid w:val="00B72349"/>
    <w:rsid w:val="00B7244E"/>
    <w:rsid w:val="00B72740"/>
    <w:rsid w:val="00B7278C"/>
    <w:rsid w:val="00B727F8"/>
    <w:rsid w:val="00B72A6C"/>
    <w:rsid w:val="00B72C52"/>
    <w:rsid w:val="00B72E3A"/>
    <w:rsid w:val="00B72E67"/>
    <w:rsid w:val="00B72E96"/>
    <w:rsid w:val="00B731BD"/>
    <w:rsid w:val="00B73565"/>
    <w:rsid w:val="00B7384B"/>
    <w:rsid w:val="00B741F0"/>
    <w:rsid w:val="00B743C3"/>
    <w:rsid w:val="00B7445D"/>
    <w:rsid w:val="00B74DFF"/>
    <w:rsid w:val="00B75885"/>
    <w:rsid w:val="00B7596A"/>
    <w:rsid w:val="00B76662"/>
    <w:rsid w:val="00B76FFF"/>
    <w:rsid w:val="00B77344"/>
    <w:rsid w:val="00B7760B"/>
    <w:rsid w:val="00B777AC"/>
    <w:rsid w:val="00B77862"/>
    <w:rsid w:val="00B778C9"/>
    <w:rsid w:val="00B80298"/>
    <w:rsid w:val="00B8060A"/>
    <w:rsid w:val="00B80F89"/>
    <w:rsid w:val="00B8102C"/>
    <w:rsid w:val="00B8148E"/>
    <w:rsid w:val="00B81B0B"/>
    <w:rsid w:val="00B82804"/>
    <w:rsid w:val="00B833B7"/>
    <w:rsid w:val="00B83651"/>
    <w:rsid w:val="00B83E1F"/>
    <w:rsid w:val="00B83FDE"/>
    <w:rsid w:val="00B845C7"/>
    <w:rsid w:val="00B84756"/>
    <w:rsid w:val="00B84768"/>
    <w:rsid w:val="00B84894"/>
    <w:rsid w:val="00B84A2F"/>
    <w:rsid w:val="00B84D6B"/>
    <w:rsid w:val="00B84E68"/>
    <w:rsid w:val="00B84FFA"/>
    <w:rsid w:val="00B85548"/>
    <w:rsid w:val="00B85808"/>
    <w:rsid w:val="00B859D9"/>
    <w:rsid w:val="00B85C69"/>
    <w:rsid w:val="00B85F9D"/>
    <w:rsid w:val="00B8601E"/>
    <w:rsid w:val="00B867E3"/>
    <w:rsid w:val="00B86815"/>
    <w:rsid w:val="00B86CC7"/>
    <w:rsid w:val="00B87709"/>
    <w:rsid w:val="00B87729"/>
    <w:rsid w:val="00B87848"/>
    <w:rsid w:val="00B879E2"/>
    <w:rsid w:val="00B87A49"/>
    <w:rsid w:val="00B87AF5"/>
    <w:rsid w:val="00B87D81"/>
    <w:rsid w:val="00B90326"/>
    <w:rsid w:val="00B90465"/>
    <w:rsid w:val="00B907F4"/>
    <w:rsid w:val="00B90FCC"/>
    <w:rsid w:val="00B91C52"/>
    <w:rsid w:val="00B91DB1"/>
    <w:rsid w:val="00B92074"/>
    <w:rsid w:val="00B92C50"/>
    <w:rsid w:val="00B92C68"/>
    <w:rsid w:val="00B92D40"/>
    <w:rsid w:val="00B93287"/>
    <w:rsid w:val="00B93882"/>
    <w:rsid w:val="00B93B84"/>
    <w:rsid w:val="00B93C91"/>
    <w:rsid w:val="00B93F11"/>
    <w:rsid w:val="00B946AC"/>
    <w:rsid w:val="00B951F1"/>
    <w:rsid w:val="00B955A2"/>
    <w:rsid w:val="00B95623"/>
    <w:rsid w:val="00B957D5"/>
    <w:rsid w:val="00B95AAC"/>
    <w:rsid w:val="00B95E15"/>
    <w:rsid w:val="00B96008"/>
    <w:rsid w:val="00B963F4"/>
    <w:rsid w:val="00B9648D"/>
    <w:rsid w:val="00B964C5"/>
    <w:rsid w:val="00B9665C"/>
    <w:rsid w:val="00B966C0"/>
    <w:rsid w:val="00B974A1"/>
    <w:rsid w:val="00B97AB0"/>
    <w:rsid w:val="00B97E6E"/>
    <w:rsid w:val="00BA04AD"/>
    <w:rsid w:val="00BA04D0"/>
    <w:rsid w:val="00BA06C4"/>
    <w:rsid w:val="00BA0993"/>
    <w:rsid w:val="00BA0B40"/>
    <w:rsid w:val="00BA0D5B"/>
    <w:rsid w:val="00BA1053"/>
    <w:rsid w:val="00BA14B3"/>
    <w:rsid w:val="00BA1A0B"/>
    <w:rsid w:val="00BA1CA4"/>
    <w:rsid w:val="00BA1EB2"/>
    <w:rsid w:val="00BA2DA8"/>
    <w:rsid w:val="00BA2F04"/>
    <w:rsid w:val="00BA2FD2"/>
    <w:rsid w:val="00BA323D"/>
    <w:rsid w:val="00BA3462"/>
    <w:rsid w:val="00BA3515"/>
    <w:rsid w:val="00BA40E6"/>
    <w:rsid w:val="00BA41CD"/>
    <w:rsid w:val="00BA4569"/>
    <w:rsid w:val="00BA47EE"/>
    <w:rsid w:val="00BA4C1F"/>
    <w:rsid w:val="00BA4FE4"/>
    <w:rsid w:val="00BA5B55"/>
    <w:rsid w:val="00BA5BD5"/>
    <w:rsid w:val="00BA5CB2"/>
    <w:rsid w:val="00BA5DFA"/>
    <w:rsid w:val="00BA5E89"/>
    <w:rsid w:val="00BA6633"/>
    <w:rsid w:val="00BA6B0A"/>
    <w:rsid w:val="00BA6B42"/>
    <w:rsid w:val="00BA7002"/>
    <w:rsid w:val="00BA7C3B"/>
    <w:rsid w:val="00BB047A"/>
    <w:rsid w:val="00BB0863"/>
    <w:rsid w:val="00BB09E3"/>
    <w:rsid w:val="00BB0F93"/>
    <w:rsid w:val="00BB107C"/>
    <w:rsid w:val="00BB11CB"/>
    <w:rsid w:val="00BB142F"/>
    <w:rsid w:val="00BB153B"/>
    <w:rsid w:val="00BB2A3C"/>
    <w:rsid w:val="00BB3774"/>
    <w:rsid w:val="00BB3D05"/>
    <w:rsid w:val="00BB3D3A"/>
    <w:rsid w:val="00BB3E56"/>
    <w:rsid w:val="00BB400C"/>
    <w:rsid w:val="00BB415B"/>
    <w:rsid w:val="00BB41C1"/>
    <w:rsid w:val="00BB45D0"/>
    <w:rsid w:val="00BB4999"/>
    <w:rsid w:val="00BB4BD4"/>
    <w:rsid w:val="00BB4D86"/>
    <w:rsid w:val="00BB54C7"/>
    <w:rsid w:val="00BB5794"/>
    <w:rsid w:val="00BB5B78"/>
    <w:rsid w:val="00BB600B"/>
    <w:rsid w:val="00BB6117"/>
    <w:rsid w:val="00BB6354"/>
    <w:rsid w:val="00BB65DB"/>
    <w:rsid w:val="00BB6871"/>
    <w:rsid w:val="00BB78C4"/>
    <w:rsid w:val="00BB792E"/>
    <w:rsid w:val="00BC016A"/>
    <w:rsid w:val="00BC0184"/>
    <w:rsid w:val="00BC0684"/>
    <w:rsid w:val="00BC0B4E"/>
    <w:rsid w:val="00BC160A"/>
    <w:rsid w:val="00BC16E3"/>
    <w:rsid w:val="00BC198D"/>
    <w:rsid w:val="00BC1B8B"/>
    <w:rsid w:val="00BC1F51"/>
    <w:rsid w:val="00BC1F5C"/>
    <w:rsid w:val="00BC240D"/>
    <w:rsid w:val="00BC249B"/>
    <w:rsid w:val="00BC3056"/>
    <w:rsid w:val="00BC350B"/>
    <w:rsid w:val="00BC38F2"/>
    <w:rsid w:val="00BC418A"/>
    <w:rsid w:val="00BC488C"/>
    <w:rsid w:val="00BC4DD2"/>
    <w:rsid w:val="00BC547E"/>
    <w:rsid w:val="00BC5554"/>
    <w:rsid w:val="00BC593A"/>
    <w:rsid w:val="00BC5EC8"/>
    <w:rsid w:val="00BC5F2E"/>
    <w:rsid w:val="00BC61C4"/>
    <w:rsid w:val="00BC6619"/>
    <w:rsid w:val="00BC6AAB"/>
    <w:rsid w:val="00BC6B18"/>
    <w:rsid w:val="00BC6CE5"/>
    <w:rsid w:val="00BC6E40"/>
    <w:rsid w:val="00BC6EAD"/>
    <w:rsid w:val="00BC7320"/>
    <w:rsid w:val="00BC7B13"/>
    <w:rsid w:val="00BC7C07"/>
    <w:rsid w:val="00BD0212"/>
    <w:rsid w:val="00BD0313"/>
    <w:rsid w:val="00BD0975"/>
    <w:rsid w:val="00BD0D32"/>
    <w:rsid w:val="00BD109D"/>
    <w:rsid w:val="00BD10EB"/>
    <w:rsid w:val="00BD115F"/>
    <w:rsid w:val="00BD1956"/>
    <w:rsid w:val="00BD1C28"/>
    <w:rsid w:val="00BD1E0D"/>
    <w:rsid w:val="00BD223D"/>
    <w:rsid w:val="00BD279B"/>
    <w:rsid w:val="00BD2829"/>
    <w:rsid w:val="00BD2B67"/>
    <w:rsid w:val="00BD2B7A"/>
    <w:rsid w:val="00BD33F1"/>
    <w:rsid w:val="00BD3917"/>
    <w:rsid w:val="00BD393D"/>
    <w:rsid w:val="00BD4441"/>
    <w:rsid w:val="00BD47C0"/>
    <w:rsid w:val="00BD49F3"/>
    <w:rsid w:val="00BD4E91"/>
    <w:rsid w:val="00BD5426"/>
    <w:rsid w:val="00BD578A"/>
    <w:rsid w:val="00BD5AA8"/>
    <w:rsid w:val="00BD5AC4"/>
    <w:rsid w:val="00BD618A"/>
    <w:rsid w:val="00BD6C5E"/>
    <w:rsid w:val="00BD6FB5"/>
    <w:rsid w:val="00BD7388"/>
    <w:rsid w:val="00BD7E94"/>
    <w:rsid w:val="00BD7FEF"/>
    <w:rsid w:val="00BE0012"/>
    <w:rsid w:val="00BE06DE"/>
    <w:rsid w:val="00BE09E8"/>
    <w:rsid w:val="00BE0CAB"/>
    <w:rsid w:val="00BE1477"/>
    <w:rsid w:val="00BE16C0"/>
    <w:rsid w:val="00BE1BF6"/>
    <w:rsid w:val="00BE1DA7"/>
    <w:rsid w:val="00BE1F2D"/>
    <w:rsid w:val="00BE27B8"/>
    <w:rsid w:val="00BE31D6"/>
    <w:rsid w:val="00BE33B2"/>
    <w:rsid w:val="00BE3442"/>
    <w:rsid w:val="00BE350B"/>
    <w:rsid w:val="00BE3852"/>
    <w:rsid w:val="00BE42D0"/>
    <w:rsid w:val="00BE454D"/>
    <w:rsid w:val="00BE47F4"/>
    <w:rsid w:val="00BE4A38"/>
    <w:rsid w:val="00BE505E"/>
    <w:rsid w:val="00BE5CD8"/>
    <w:rsid w:val="00BE61CD"/>
    <w:rsid w:val="00BE6634"/>
    <w:rsid w:val="00BE690F"/>
    <w:rsid w:val="00BE69EE"/>
    <w:rsid w:val="00BE69F4"/>
    <w:rsid w:val="00BE6D59"/>
    <w:rsid w:val="00BE729E"/>
    <w:rsid w:val="00BF0705"/>
    <w:rsid w:val="00BF0B5B"/>
    <w:rsid w:val="00BF0E36"/>
    <w:rsid w:val="00BF0FBC"/>
    <w:rsid w:val="00BF1429"/>
    <w:rsid w:val="00BF16BC"/>
    <w:rsid w:val="00BF1B45"/>
    <w:rsid w:val="00BF1C91"/>
    <w:rsid w:val="00BF1D76"/>
    <w:rsid w:val="00BF1EFA"/>
    <w:rsid w:val="00BF22AE"/>
    <w:rsid w:val="00BF2326"/>
    <w:rsid w:val="00BF2AE6"/>
    <w:rsid w:val="00BF2CEC"/>
    <w:rsid w:val="00BF2F54"/>
    <w:rsid w:val="00BF35E2"/>
    <w:rsid w:val="00BF3734"/>
    <w:rsid w:val="00BF39B1"/>
    <w:rsid w:val="00BF3BB1"/>
    <w:rsid w:val="00BF4B2E"/>
    <w:rsid w:val="00BF4DE0"/>
    <w:rsid w:val="00BF51F4"/>
    <w:rsid w:val="00BF52C7"/>
    <w:rsid w:val="00BF5FBC"/>
    <w:rsid w:val="00BF638E"/>
    <w:rsid w:val="00BF642F"/>
    <w:rsid w:val="00BF712C"/>
    <w:rsid w:val="00BF76D0"/>
    <w:rsid w:val="00BF7789"/>
    <w:rsid w:val="00C00C3B"/>
    <w:rsid w:val="00C00CBB"/>
    <w:rsid w:val="00C00F5A"/>
    <w:rsid w:val="00C01023"/>
    <w:rsid w:val="00C01217"/>
    <w:rsid w:val="00C012B9"/>
    <w:rsid w:val="00C01ADF"/>
    <w:rsid w:val="00C01CA4"/>
    <w:rsid w:val="00C01E45"/>
    <w:rsid w:val="00C01EA6"/>
    <w:rsid w:val="00C02202"/>
    <w:rsid w:val="00C02D94"/>
    <w:rsid w:val="00C02FBE"/>
    <w:rsid w:val="00C032C8"/>
    <w:rsid w:val="00C03513"/>
    <w:rsid w:val="00C0368E"/>
    <w:rsid w:val="00C03737"/>
    <w:rsid w:val="00C041FB"/>
    <w:rsid w:val="00C04377"/>
    <w:rsid w:val="00C044AB"/>
    <w:rsid w:val="00C0470B"/>
    <w:rsid w:val="00C04BEF"/>
    <w:rsid w:val="00C05222"/>
    <w:rsid w:val="00C05239"/>
    <w:rsid w:val="00C06285"/>
    <w:rsid w:val="00C06413"/>
    <w:rsid w:val="00C0641B"/>
    <w:rsid w:val="00C064C1"/>
    <w:rsid w:val="00C0679E"/>
    <w:rsid w:val="00C06A09"/>
    <w:rsid w:val="00C06AF3"/>
    <w:rsid w:val="00C07700"/>
    <w:rsid w:val="00C07FB8"/>
    <w:rsid w:val="00C10703"/>
    <w:rsid w:val="00C10B11"/>
    <w:rsid w:val="00C11FDD"/>
    <w:rsid w:val="00C120C5"/>
    <w:rsid w:val="00C12391"/>
    <w:rsid w:val="00C1284F"/>
    <w:rsid w:val="00C12A01"/>
    <w:rsid w:val="00C13DF3"/>
    <w:rsid w:val="00C142B3"/>
    <w:rsid w:val="00C142D2"/>
    <w:rsid w:val="00C1444F"/>
    <w:rsid w:val="00C14502"/>
    <w:rsid w:val="00C1506A"/>
    <w:rsid w:val="00C15A8D"/>
    <w:rsid w:val="00C15AFB"/>
    <w:rsid w:val="00C15E39"/>
    <w:rsid w:val="00C1616B"/>
    <w:rsid w:val="00C16509"/>
    <w:rsid w:val="00C165F3"/>
    <w:rsid w:val="00C16D33"/>
    <w:rsid w:val="00C16D75"/>
    <w:rsid w:val="00C170E3"/>
    <w:rsid w:val="00C1759A"/>
    <w:rsid w:val="00C177B3"/>
    <w:rsid w:val="00C17B76"/>
    <w:rsid w:val="00C17CEB"/>
    <w:rsid w:val="00C20466"/>
    <w:rsid w:val="00C20862"/>
    <w:rsid w:val="00C20E1D"/>
    <w:rsid w:val="00C20F56"/>
    <w:rsid w:val="00C21625"/>
    <w:rsid w:val="00C21938"/>
    <w:rsid w:val="00C219F3"/>
    <w:rsid w:val="00C21DCA"/>
    <w:rsid w:val="00C221B3"/>
    <w:rsid w:val="00C221C9"/>
    <w:rsid w:val="00C2233E"/>
    <w:rsid w:val="00C22362"/>
    <w:rsid w:val="00C2244C"/>
    <w:rsid w:val="00C22716"/>
    <w:rsid w:val="00C22F3B"/>
    <w:rsid w:val="00C23334"/>
    <w:rsid w:val="00C23A90"/>
    <w:rsid w:val="00C23CEA"/>
    <w:rsid w:val="00C23DF3"/>
    <w:rsid w:val="00C24041"/>
    <w:rsid w:val="00C240EB"/>
    <w:rsid w:val="00C2505E"/>
    <w:rsid w:val="00C252C6"/>
    <w:rsid w:val="00C25418"/>
    <w:rsid w:val="00C254D2"/>
    <w:rsid w:val="00C25C72"/>
    <w:rsid w:val="00C26188"/>
    <w:rsid w:val="00C264DB"/>
    <w:rsid w:val="00C2678B"/>
    <w:rsid w:val="00C26AAD"/>
    <w:rsid w:val="00C26B76"/>
    <w:rsid w:val="00C27405"/>
    <w:rsid w:val="00C2748C"/>
    <w:rsid w:val="00C276EB"/>
    <w:rsid w:val="00C2787A"/>
    <w:rsid w:val="00C27FB6"/>
    <w:rsid w:val="00C3130E"/>
    <w:rsid w:val="00C3142A"/>
    <w:rsid w:val="00C31A50"/>
    <w:rsid w:val="00C31E60"/>
    <w:rsid w:val="00C31F06"/>
    <w:rsid w:val="00C31FD4"/>
    <w:rsid w:val="00C31FD6"/>
    <w:rsid w:val="00C322E3"/>
    <w:rsid w:val="00C325B7"/>
    <w:rsid w:val="00C32BB3"/>
    <w:rsid w:val="00C3357F"/>
    <w:rsid w:val="00C33737"/>
    <w:rsid w:val="00C33B78"/>
    <w:rsid w:val="00C33BA2"/>
    <w:rsid w:val="00C340D3"/>
    <w:rsid w:val="00C347D0"/>
    <w:rsid w:val="00C348D6"/>
    <w:rsid w:val="00C35185"/>
    <w:rsid w:val="00C35294"/>
    <w:rsid w:val="00C3568D"/>
    <w:rsid w:val="00C35BBF"/>
    <w:rsid w:val="00C35E42"/>
    <w:rsid w:val="00C35FCA"/>
    <w:rsid w:val="00C36C31"/>
    <w:rsid w:val="00C36F70"/>
    <w:rsid w:val="00C37236"/>
    <w:rsid w:val="00C37941"/>
    <w:rsid w:val="00C37E88"/>
    <w:rsid w:val="00C40068"/>
    <w:rsid w:val="00C4010B"/>
    <w:rsid w:val="00C409C7"/>
    <w:rsid w:val="00C40B11"/>
    <w:rsid w:val="00C40C0F"/>
    <w:rsid w:val="00C4147A"/>
    <w:rsid w:val="00C414BE"/>
    <w:rsid w:val="00C41582"/>
    <w:rsid w:val="00C416B4"/>
    <w:rsid w:val="00C41E06"/>
    <w:rsid w:val="00C42332"/>
    <w:rsid w:val="00C42B38"/>
    <w:rsid w:val="00C42B90"/>
    <w:rsid w:val="00C42DE2"/>
    <w:rsid w:val="00C42E66"/>
    <w:rsid w:val="00C43690"/>
    <w:rsid w:val="00C43810"/>
    <w:rsid w:val="00C439A1"/>
    <w:rsid w:val="00C43E11"/>
    <w:rsid w:val="00C43EE5"/>
    <w:rsid w:val="00C4421B"/>
    <w:rsid w:val="00C44255"/>
    <w:rsid w:val="00C44386"/>
    <w:rsid w:val="00C444AE"/>
    <w:rsid w:val="00C4474D"/>
    <w:rsid w:val="00C447E9"/>
    <w:rsid w:val="00C449DA"/>
    <w:rsid w:val="00C44C11"/>
    <w:rsid w:val="00C453CA"/>
    <w:rsid w:val="00C45441"/>
    <w:rsid w:val="00C454A0"/>
    <w:rsid w:val="00C4670D"/>
    <w:rsid w:val="00C46738"/>
    <w:rsid w:val="00C4698F"/>
    <w:rsid w:val="00C46C5B"/>
    <w:rsid w:val="00C4705A"/>
    <w:rsid w:val="00C470A8"/>
    <w:rsid w:val="00C470C1"/>
    <w:rsid w:val="00C47BAF"/>
    <w:rsid w:val="00C47D08"/>
    <w:rsid w:val="00C500CD"/>
    <w:rsid w:val="00C501A8"/>
    <w:rsid w:val="00C50544"/>
    <w:rsid w:val="00C50BC8"/>
    <w:rsid w:val="00C50EE8"/>
    <w:rsid w:val="00C51248"/>
    <w:rsid w:val="00C516D7"/>
    <w:rsid w:val="00C52DE9"/>
    <w:rsid w:val="00C52E74"/>
    <w:rsid w:val="00C53C33"/>
    <w:rsid w:val="00C53F13"/>
    <w:rsid w:val="00C547C2"/>
    <w:rsid w:val="00C547FD"/>
    <w:rsid w:val="00C550DB"/>
    <w:rsid w:val="00C551E3"/>
    <w:rsid w:val="00C553C2"/>
    <w:rsid w:val="00C55526"/>
    <w:rsid w:val="00C555EF"/>
    <w:rsid w:val="00C558F3"/>
    <w:rsid w:val="00C5596C"/>
    <w:rsid w:val="00C55D26"/>
    <w:rsid w:val="00C562EC"/>
    <w:rsid w:val="00C56360"/>
    <w:rsid w:val="00C563CE"/>
    <w:rsid w:val="00C5645C"/>
    <w:rsid w:val="00C5693D"/>
    <w:rsid w:val="00C56A54"/>
    <w:rsid w:val="00C57179"/>
    <w:rsid w:val="00C5718E"/>
    <w:rsid w:val="00C5743D"/>
    <w:rsid w:val="00C57551"/>
    <w:rsid w:val="00C576AC"/>
    <w:rsid w:val="00C57917"/>
    <w:rsid w:val="00C57B7C"/>
    <w:rsid w:val="00C57E8E"/>
    <w:rsid w:val="00C60192"/>
    <w:rsid w:val="00C603F3"/>
    <w:rsid w:val="00C609B2"/>
    <w:rsid w:val="00C60B4D"/>
    <w:rsid w:val="00C60D42"/>
    <w:rsid w:val="00C60DF2"/>
    <w:rsid w:val="00C60F3E"/>
    <w:rsid w:val="00C61407"/>
    <w:rsid w:val="00C619C6"/>
    <w:rsid w:val="00C61BC5"/>
    <w:rsid w:val="00C61C9B"/>
    <w:rsid w:val="00C61DB1"/>
    <w:rsid w:val="00C62AEC"/>
    <w:rsid w:val="00C637EE"/>
    <w:rsid w:val="00C63889"/>
    <w:rsid w:val="00C63CA1"/>
    <w:rsid w:val="00C64181"/>
    <w:rsid w:val="00C64566"/>
    <w:rsid w:val="00C647FB"/>
    <w:rsid w:val="00C647FC"/>
    <w:rsid w:val="00C64BDC"/>
    <w:rsid w:val="00C65111"/>
    <w:rsid w:val="00C652EB"/>
    <w:rsid w:val="00C654E3"/>
    <w:rsid w:val="00C65FE0"/>
    <w:rsid w:val="00C66016"/>
    <w:rsid w:val="00C662D6"/>
    <w:rsid w:val="00C6660B"/>
    <w:rsid w:val="00C670A2"/>
    <w:rsid w:val="00C673F9"/>
    <w:rsid w:val="00C673FB"/>
    <w:rsid w:val="00C67BFB"/>
    <w:rsid w:val="00C702B2"/>
    <w:rsid w:val="00C70537"/>
    <w:rsid w:val="00C705FA"/>
    <w:rsid w:val="00C70699"/>
    <w:rsid w:val="00C71363"/>
    <w:rsid w:val="00C715FC"/>
    <w:rsid w:val="00C71ECB"/>
    <w:rsid w:val="00C720F9"/>
    <w:rsid w:val="00C72289"/>
    <w:rsid w:val="00C73B8F"/>
    <w:rsid w:val="00C73BA1"/>
    <w:rsid w:val="00C73BF0"/>
    <w:rsid w:val="00C7464C"/>
    <w:rsid w:val="00C74D81"/>
    <w:rsid w:val="00C74E20"/>
    <w:rsid w:val="00C75394"/>
    <w:rsid w:val="00C7567D"/>
    <w:rsid w:val="00C756D8"/>
    <w:rsid w:val="00C759C2"/>
    <w:rsid w:val="00C762C0"/>
    <w:rsid w:val="00C7692C"/>
    <w:rsid w:val="00C76BC3"/>
    <w:rsid w:val="00C76F0E"/>
    <w:rsid w:val="00C772B4"/>
    <w:rsid w:val="00C774F7"/>
    <w:rsid w:val="00C77C34"/>
    <w:rsid w:val="00C808B3"/>
    <w:rsid w:val="00C80AA3"/>
    <w:rsid w:val="00C80BB3"/>
    <w:rsid w:val="00C80C7D"/>
    <w:rsid w:val="00C81381"/>
    <w:rsid w:val="00C81D4F"/>
    <w:rsid w:val="00C81F79"/>
    <w:rsid w:val="00C81F9E"/>
    <w:rsid w:val="00C8203C"/>
    <w:rsid w:val="00C826FE"/>
    <w:rsid w:val="00C828A8"/>
    <w:rsid w:val="00C82D34"/>
    <w:rsid w:val="00C83838"/>
    <w:rsid w:val="00C83C2C"/>
    <w:rsid w:val="00C84317"/>
    <w:rsid w:val="00C84727"/>
    <w:rsid w:val="00C84B02"/>
    <w:rsid w:val="00C853BB"/>
    <w:rsid w:val="00C85B7F"/>
    <w:rsid w:val="00C86107"/>
    <w:rsid w:val="00C864B1"/>
    <w:rsid w:val="00C865F3"/>
    <w:rsid w:val="00C86B27"/>
    <w:rsid w:val="00C86F8D"/>
    <w:rsid w:val="00C86FF0"/>
    <w:rsid w:val="00C87BC9"/>
    <w:rsid w:val="00C87EF3"/>
    <w:rsid w:val="00C9018A"/>
    <w:rsid w:val="00C905FE"/>
    <w:rsid w:val="00C90D46"/>
    <w:rsid w:val="00C913B3"/>
    <w:rsid w:val="00C91994"/>
    <w:rsid w:val="00C919D2"/>
    <w:rsid w:val="00C91B81"/>
    <w:rsid w:val="00C921CC"/>
    <w:rsid w:val="00C92488"/>
    <w:rsid w:val="00C9353D"/>
    <w:rsid w:val="00C9384C"/>
    <w:rsid w:val="00C93A3D"/>
    <w:rsid w:val="00C93A7F"/>
    <w:rsid w:val="00C93D99"/>
    <w:rsid w:val="00C93DA9"/>
    <w:rsid w:val="00C93DEE"/>
    <w:rsid w:val="00C9466E"/>
    <w:rsid w:val="00C948B6"/>
    <w:rsid w:val="00C94B1A"/>
    <w:rsid w:val="00C94FBB"/>
    <w:rsid w:val="00C94FC9"/>
    <w:rsid w:val="00C9506F"/>
    <w:rsid w:val="00C955AF"/>
    <w:rsid w:val="00C95691"/>
    <w:rsid w:val="00C95719"/>
    <w:rsid w:val="00C958FB"/>
    <w:rsid w:val="00C95C65"/>
    <w:rsid w:val="00C95FE2"/>
    <w:rsid w:val="00C9621E"/>
    <w:rsid w:val="00C96CF1"/>
    <w:rsid w:val="00C96DD3"/>
    <w:rsid w:val="00C97215"/>
    <w:rsid w:val="00C977E2"/>
    <w:rsid w:val="00C97A2A"/>
    <w:rsid w:val="00C97DEA"/>
    <w:rsid w:val="00CA00FF"/>
    <w:rsid w:val="00CA0558"/>
    <w:rsid w:val="00CA0D2F"/>
    <w:rsid w:val="00CA0EAC"/>
    <w:rsid w:val="00CA14AD"/>
    <w:rsid w:val="00CA1521"/>
    <w:rsid w:val="00CA15FE"/>
    <w:rsid w:val="00CA179B"/>
    <w:rsid w:val="00CA1B61"/>
    <w:rsid w:val="00CA1C3E"/>
    <w:rsid w:val="00CA2149"/>
    <w:rsid w:val="00CA23A0"/>
    <w:rsid w:val="00CA246D"/>
    <w:rsid w:val="00CA247D"/>
    <w:rsid w:val="00CA307B"/>
    <w:rsid w:val="00CA39EB"/>
    <w:rsid w:val="00CA3AA4"/>
    <w:rsid w:val="00CA3E34"/>
    <w:rsid w:val="00CA4412"/>
    <w:rsid w:val="00CA4663"/>
    <w:rsid w:val="00CA46F1"/>
    <w:rsid w:val="00CA475A"/>
    <w:rsid w:val="00CA4DC9"/>
    <w:rsid w:val="00CA5303"/>
    <w:rsid w:val="00CA5464"/>
    <w:rsid w:val="00CA550F"/>
    <w:rsid w:val="00CA5842"/>
    <w:rsid w:val="00CA60A4"/>
    <w:rsid w:val="00CA62B0"/>
    <w:rsid w:val="00CA65FE"/>
    <w:rsid w:val="00CA664F"/>
    <w:rsid w:val="00CA6EA9"/>
    <w:rsid w:val="00CA7490"/>
    <w:rsid w:val="00CA7626"/>
    <w:rsid w:val="00CA7631"/>
    <w:rsid w:val="00CA7A14"/>
    <w:rsid w:val="00CA7A5D"/>
    <w:rsid w:val="00CA7E3B"/>
    <w:rsid w:val="00CB0B30"/>
    <w:rsid w:val="00CB173A"/>
    <w:rsid w:val="00CB17CD"/>
    <w:rsid w:val="00CB19E8"/>
    <w:rsid w:val="00CB1BB6"/>
    <w:rsid w:val="00CB1FC5"/>
    <w:rsid w:val="00CB21F9"/>
    <w:rsid w:val="00CB2557"/>
    <w:rsid w:val="00CB28CA"/>
    <w:rsid w:val="00CB2DA0"/>
    <w:rsid w:val="00CB2E1B"/>
    <w:rsid w:val="00CB3458"/>
    <w:rsid w:val="00CB3583"/>
    <w:rsid w:val="00CB3720"/>
    <w:rsid w:val="00CB4497"/>
    <w:rsid w:val="00CB4785"/>
    <w:rsid w:val="00CB47ED"/>
    <w:rsid w:val="00CB4A3E"/>
    <w:rsid w:val="00CB4C0C"/>
    <w:rsid w:val="00CB5C9F"/>
    <w:rsid w:val="00CB66C3"/>
    <w:rsid w:val="00CB66EA"/>
    <w:rsid w:val="00CB6777"/>
    <w:rsid w:val="00CB72DC"/>
    <w:rsid w:val="00CB7321"/>
    <w:rsid w:val="00CB76B7"/>
    <w:rsid w:val="00CB7DEB"/>
    <w:rsid w:val="00CB7E1B"/>
    <w:rsid w:val="00CC0023"/>
    <w:rsid w:val="00CC0240"/>
    <w:rsid w:val="00CC09A5"/>
    <w:rsid w:val="00CC0EA9"/>
    <w:rsid w:val="00CC1170"/>
    <w:rsid w:val="00CC1532"/>
    <w:rsid w:val="00CC1764"/>
    <w:rsid w:val="00CC1C72"/>
    <w:rsid w:val="00CC20B4"/>
    <w:rsid w:val="00CC243D"/>
    <w:rsid w:val="00CC26B4"/>
    <w:rsid w:val="00CC2B5F"/>
    <w:rsid w:val="00CC2BAE"/>
    <w:rsid w:val="00CC2D0F"/>
    <w:rsid w:val="00CC2FC0"/>
    <w:rsid w:val="00CC30BF"/>
    <w:rsid w:val="00CC31F4"/>
    <w:rsid w:val="00CC3526"/>
    <w:rsid w:val="00CC3783"/>
    <w:rsid w:val="00CC4219"/>
    <w:rsid w:val="00CC4309"/>
    <w:rsid w:val="00CC43F2"/>
    <w:rsid w:val="00CC4E8A"/>
    <w:rsid w:val="00CC5045"/>
    <w:rsid w:val="00CC531E"/>
    <w:rsid w:val="00CC5491"/>
    <w:rsid w:val="00CC5A1C"/>
    <w:rsid w:val="00CC6407"/>
    <w:rsid w:val="00CC6A8D"/>
    <w:rsid w:val="00CC79B1"/>
    <w:rsid w:val="00CD00D2"/>
    <w:rsid w:val="00CD0A03"/>
    <w:rsid w:val="00CD0CF3"/>
    <w:rsid w:val="00CD0D40"/>
    <w:rsid w:val="00CD0E5B"/>
    <w:rsid w:val="00CD128B"/>
    <w:rsid w:val="00CD13D2"/>
    <w:rsid w:val="00CD1750"/>
    <w:rsid w:val="00CD1AED"/>
    <w:rsid w:val="00CD1DAB"/>
    <w:rsid w:val="00CD1DFF"/>
    <w:rsid w:val="00CD2046"/>
    <w:rsid w:val="00CD2172"/>
    <w:rsid w:val="00CD2611"/>
    <w:rsid w:val="00CD2A35"/>
    <w:rsid w:val="00CD3342"/>
    <w:rsid w:val="00CD382D"/>
    <w:rsid w:val="00CD3C15"/>
    <w:rsid w:val="00CD3CC3"/>
    <w:rsid w:val="00CD40EA"/>
    <w:rsid w:val="00CD46B6"/>
    <w:rsid w:val="00CD4D0B"/>
    <w:rsid w:val="00CD52C3"/>
    <w:rsid w:val="00CD546B"/>
    <w:rsid w:val="00CD56FC"/>
    <w:rsid w:val="00CD5E95"/>
    <w:rsid w:val="00CD5F4C"/>
    <w:rsid w:val="00CD6586"/>
    <w:rsid w:val="00CD66FB"/>
    <w:rsid w:val="00CD6F90"/>
    <w:rsid w:val="00CD7864"/>
    <w:rsid w:val="00CD7F24"/>
    <w:rsid w:val="00CE11B7"/>
    <w:rsid w:val="00CE1225"/>
    <w:rsid w:val="00CE181D"/>
    <w:rsid w:val="00CE1AAC"/>
    <w:rsid w:val="00CE2034"/>
    <w:rsid w:val="00CE2946"/>
    <w:rsid w:val="00CE2B0E"/>
    <w:rsid w:val="00CE304B"/>
    <w:rsid w:val="00CE31C3"/>
    <w:rsid w:val="00CE32A6"/>
    <w:rsid w:val="00CE3534"/>
    <w:rsid w:val="00CE3DA0"/>
    <w:rsid w:val="00CE3E6F"/>
    <w:rsid w:val="00CE49F2"/>
    <w:rsid w:val="00CE4A0C"/>
    <w:rsid w:val="00CE527D"/>
    <w:rsid w:val="00CE52D9"/>
    <w:rsid w:val="00CE5313"/>
    <w:rsid w:val="00CE54B5"/>
    <w:rsid w:val="00CE5A69"/>
    <w:rsid w:val="00CE5D68"/>
    <w:rsid w:val="00CE5DA2"/>
    <w:rsid w:val="00CE5F93"/>
    <w:rsid w:val="00CE62AE"/>
    <w:rsid w:val="00CE633B"/>
    <w:rsid w:val="00CE6729"/>
    <w:rsid w:val="00CE683F"/>
    <w:rsid w:val="00CE68D0"/>
    <w:rsid w:val="00CE6CDC"/>
    <w:rsid w:val="00CE77DC"/>
    <w:rsid w:val="00CF026A"/>
    <w:rsid w:val="00CF02E4"/>
    <w:rsid w:val="00CF0321"/>
    <w:rsid w:val="00CF07FB"/>
    <w:rsid w:val="00CF0CFA"/>
    <w:rsid w:val="00CF1557"/>
    <w:rsid w:val="00CF23C2"/>
    <w:rsid w:val="00CF269C"/>
    <w:rsid w:val="00CF2B45"/>
    <w:rsid w:val="00CF2FA5"/>
    <w:rsid w:val="00CF34B6"/>
    <w:rsid w:val="00CF3853"/>
    <w:rsid w:val="00CF3AF5"/>
    <w:rsid w:val="00CF401A"/>
    <w:rsid w:val="00CF4F59"/>
    <w:rsid w:val="00CF53B6"/>
    <w:rsid w:val="00CF56B5"/>
    <w:rsid w:val="00CF5D76"/>
    <w:rsid w:val="00CF5F60"/>
    <w:rsid w:val="00CF6835"/>
    <w:rsid w:val="00CF688E"/>
    <w:rsid w:val="00CF6999"/>
    <w:rsid w:val="00CF6ACF"/>
    <w:rsid w:val="00CF6EB9"/>
    <w:rsid w:val="00CF77D0"/>
    <w:rsid w:val="00CF7CE1"/>
    <w:rsid w:val="00CF7DF2"/>
    <w:rsid w:val="00D00086"/>
    <w:rsid w:val="00D00271"/>
    <w:rsid w:val="00D00440"/>
    <w:rsid w:val="00D00533"/>
    <w:rsid w:val="00D00634"/>
    <w:rsid w:val="00D00A0A"/>
    <w:rsid w:val="00D013E2"/>
    <w:rsid w:val="00D0143E"/>
    <w:rsid w:val="00D014B9"/>
    <w:rsid w:val="00D01DAD"/>
    <w:rsid w:val="00D02381"/>
    <w:rsid w:val="00D0301F"/>
    <w:rsid w:val="00D03181"/>
    <w:rsid w:val="00D03B5C"/>
    <w:rsid w:val="00D0405E"/>
    <w:rsid w:val="00D04561"/>
    <w:rsid w:val="00D047CB"/>
    <w:rsid w:val="00D04A31"/>
    <w:rsid w:val="00D04D33"/>
    <w:rsid w:val="00D05F3C"/>
    <w:rsid w:val="00D061AE"/>
    <w:rsid w:val="00D0631F"/>
    <w:rsid w:val="00D06E3B"/>
    <w:rsid w:val="00D071C8"/>
    <w:rsid w:val="00D072E9"/>
    <w:rsid w:val="00D0771F"/>
    <w:rsid w:val="00D07BDA"/>
    <w:rsid w:val="00D07EF3"/>
    <w:rsid w:val="00D10DD7"/>
    <w:rsid w:val="00D10E85"/>
    <w:rsid w:val="00D11148"/>
    <w:rsid w:val="00D112DD"/>
    <w:rsid w:val="00D12064"/>
    <w:rsid w:val="00D138D5"/>
    <w:rsid w:val="00D138ED"/>
    <w:rsid w:val="00D13B23"/>
    <w:rsid w:val="00D13D81"/>
    <w:rsid w:val="00D13F7A"/>
    <w:rsid w:val="00D1408E"/>
    <w:rsid w:val="00D1492F"/>
    <w:rsid w:val="00D14DF1"/>
    <w:rsid w:val="00D14FF7"/>
    <w:rsid w:val="00D1539C"/>
    <w:rsid w:val="00D157F0"/>
    <w:rsid w:val="00D15929"/>
    <w:rsid w:val="00D1666C"/>
    <w:rsid w:val="00D1669F"/>
    <w:rsid w:val="00D16AEB"/>
    <w:rsid w:val="00D16DF4"/>
    <w:rsid w:val="00D17526"/>
    <w:rsid w:val="00D178C9"/>
    <w:rsid w:val="00D17C39"/>
    <w:rsid w:val="00D17F0B"/>
    <w:rsid w:val="00D2005C"/>
    <w:rsid w:val="00D2019C"/>
    <w:rsid w:val="00D20275"/>
    <w:rsid w:val="00D202B4"/>
    <w:rsid w:val="00D20643"/>
    <w:rsid w:val="00D2075B"/>
    <w:rsid w:val="00D2190D"/>
    <w:rsid w:val="00D21D39"/>
    <w:rsid w:val="00D21DF1"/>
    <w:rsid w:val="00D22292"/>
    <w:rsid w:val="00D2256E"/>
    <w:rsid w:val="00D2308C"/>
    <w:rsid w:val="00D2339E"/>
    <w:rsid w:val="00D23F96"/>
    <w:rsid w:val="00D2412C"/>
    <w:rsid w:val="00D2426E"/>
    <w:rsid w:val="00D24505"/>
    <w:rsid w:val="00D24A15"/>
    <w:rsid w:val="00D2524E"/>
    <w:rsid w:val="00D25509"/>
    <w:rsid w:val="00D25576"/>
    <w:rsid w:val="00D2559A"/>
    <w:rsid w:val="00D25CB5"/>
    <w:rsid w:val="00D2608D"/>
    <w:rsid w:val="00D2664E"/>
    <w:rsid w:val="00D269B7"/>
    <w:rsid w:val="00D26B4C"/>
    <w:rsid w:val="00D2705C"/>
    <w:rsid w:val="00D2774F"/>
    <w:rsid w:val="00D2784B"/>
    <w:rsid w:val="00D27988"/>
    <w:rsid w:val="00D27B21"/>
    <w:rsid w:val="00D30FA1"/>
    <w:rsid w:val="00D3118D"/>
    <w:rsid w:val="00D325B5"/>
    <w:rsid w:val="00D32931"/>
    <w:rsid w:val="00D329C4"/>
    <w:rsid w:val="00D32DCA"/>
    <w:rsid w:val="00D330C1"/>
    <w:rsid w:val="00D330E8"/>
    <w:rsid w:val="00D3361F"/>
    <w:rsid w:val="00D33A82"/>
    <w:rsid w:val="00D33FE5"/>
    <w:rsid w:val="00D3405E"/>
    <w:rsid w:val="00D344E1"/>
    <w:rsid w:val="00D34959"/>
    <w:rsid w:val="00D35BF0"/>
    <w:rsid w:val="00D361B3"/>
    <w:rsid w:val="00D366BA"/>
    <w:rsid w:val="00D3671D"/>
    <w:rsid w:val="00D36961"/>
    <w:rsid w:val="00D37188"/>
    <w:rsid w:val="00D3732F"/>
    <w:rsid w:val="00D37467"/>
    <w:rsid w:val="00D37850"/>
    <w:rsid w:val="00D37953"/>
    <w:rsid w:val="00D37CC0"/>
    <w:rsid w:val="00D40195"/>
    <w:rsid w:val="00D40C01"/>
    <w:rsid w:val="00D41000"/>
    <w:rsid w:val="00D41F9C"/>
    <w:rsid w:val="00D421C8"/>
    <w:rsid w:val="00D42832"/>
    <w:rsid w:val="00D42C1B"/>
    <w:rsid w:val="00D4338B"/>
    <w:rsid w:val="00D43A4D"/>
    <w:rsid w:val="00D43F35"/>
    <w:rsid w:val="00D43FDE"/>
    <w:rsid w:val="00D44289"/>
    <w:rsid w:val="00D4462D"/>
    <w:rsid w:val="00D44D1A"/>
    <w:rsid w:val="00D4563E"/>
    <w:rsid w:val="00D45731"/>
    <w:rsid w:val="00D45B6A"/>
    <w:rsid w:val="00D45EFA"/>
    <w:rsid w:val="00D4670F"/>
    <w:rsid w:val="00D46748"/>
    <w:rsid w:val="00D46818"/>
    <w:rsid w:val="00D4722D"/>
    <w:rsid w:val="00D47CCC"/>
    <w:rsid w:val="00D47FD1"/>
    <w:rsid w:val="00D505FE"/>
    <w:rsid w:val="00D50C0E"/>
    <w:rsid w:val="00D50D67"/>
    <w:rsid w:val="00D50EDA"/>
    <w:rsid w:val="00D510DA"/>
    <w:rsid w:val="00D51401"/>
    <w:rsid w:val="00D514D4"/>
    <w:rsid w:val="00D51D39"/>
    <w:rsid w:val="00D51D57"/>
    <w:rsid w:val="00D52244"/>
    <w:rsid w:val="00D529DA"/>
    <w:rsid w:val="00D52A9F"/>
    <w:rsid w:val="00D535A3"/>
    <w:rsid w:val="00D53ED2"/>
    <w:rsid w:val="00D545C4"/>
    <w:rsid w:val="00D54700"/>
    <w:rsid w:val="00D54842"/>
    <w:rsid w:val="00D54E09"/>
    <w:rsid w:val="00D551B2"/>
    <w:rsid w:val="00D55224"/>
    <w:rsid w:val="00D555ED"/>
    <w:rsid w:val="00D558C2"/>
    <w:rsid w:val="00D55A4B"/>
    <w:rsid w:val="00D55FF0"/>
    <w:rsid w:val="00D56827"/>
    <w:rsid w:val="00D5686D"/>
    <w:rsid w:val="00D56E7B"/>
    <w:rsid w:val="00D56EBC"/>
    <w:rsid w:val="00D57241"/>
    <w:rsid w:val="00D57EAF"/>
    <w:rsid w:val="00D6016C"/>
    <w:rsid w:val="00D601F5"/>
    <w:rsid w:val="00D60525"/>
    <w:rsid w:val="00D6084B"/>
    <w:rsid w:val="00D61419"/>
    <w:rsid w:val="00D61D4B"/>
    <w:rsid w:val="00D62412"/>
    <w:rsid w:val="00D625FC"/>
    <w:rsid w:val="00D6270F"/>
    <w:rsid w:val="00D62B73"/>
    <w:rsid w:val="00D63E3E"/>
    <w:rsid w:val="00D63FAF"/>
    <w:rsid w:val="00D64111"/>
    <w:rsid w:val="00D64295"/>
    <w:rsid w:val="00D643CB"/>
    <w:rsid w:val="00D64E69"/>
    <w:rsid w:val="00D64FAF"/>
    <w:rsid w:val="00D65282"/>
    <w:rsid w:val="00D654A2"/>
    <w:rsid w:val="00D65964"/>
    <w:rsid w:val="00D65BA4"/>
    <w:rsid w:val="00D660E8"/>
    <w:rsid w:val="00D6683B"/>
    <w:rsid w:val="00D66FFD"/>
    <w:rsid w:val="00D674C6"/>
    <w:rsid w:val="00D6775A"/>
    <w:rsid w:val="00D67867"/>
    <w:rsid w:val="00D67F1B"/>
    <w:rsid w:val="00D67F30"/>
    <w:rsid w:val="00D7010A"/>
    <w:rsid w:val="00D70120"/>
    <w:rsid w:val="00D706CC"/>
    <w:rsid w:val="00D70C1E"/>
    <w:rsid w:val="00D70FD1"/>
    <w:rsid w:val="00D710ED"/>
    <w:rsid w:val="00D71484"/>
    <w:rsid w:val="00D715FA"/>
    <w:rsid w:val="00D717F7"/>
    <w:rsid w:val="00D719D6"/>
    <w:rsid w:val="00D71D25"/>
    <w:rsid w:val="00D71DC5"/>
    <w:rsid w:val="00D71DE0"/>
    <w:rsid w:val="00D71F3C"/>
    <w:rsid w:val="00D72050"/>
    <w:rsid w:val="00D72282"/>
    <w:rsid w:val="00D7264E"/>
    <w:rsid w:val="00D7287D"/>
    <w:rsid w:val="00D728A3"/>
    <w:rsid w:val="00D72EAF"/>
    <w:rsid w:val="00D73BB5"/>
    <w:rsid w:val="00D74098"/>
    <w:rsid w:val="00D744AE"/>
    <w:rsid w:val="00D74551"/>
    <w:rsid w:val="00D749FF"/>
    <w:rsid w:val="00D74C96"/>
    <w:rsid w:val="00D74E66"/>
    <w:rsid w:val="00D74EC6"/>
    <w:rsid w:val="00D74F63"/>
    <w:rsid w:val="00D75064"/>
    <w:rsid w:val="00D7528F"/>
    <w:rsid w:val="00D755B6"/>
    <w:rsid w:val="00D75BB1"/>
    <w:rsid w:val="00D75D78"/>
    <w:rsid w:val="00D75E0A"/>
    <w:rsid w:val="00D75FBD"/>
    <w:rsid w:val="00D76291"/>
    <w:rsid w:val="00D767A3"/>
    <w:rsid w:val="00D7699E"/>
    <w:rsid w:val="00D770EC"/>
    <w:rsid w:val="00D77115"/>
    <w:rsid w:val="00D77178"/>
    <w:rsid w:val="00D775D4"/>
    <w:rsid w:val="00D777CD"/>
    <w:rsid w:val="00D779B3"/>
    <w:rsid w:val="00D802C3"/>
    <w:rsid w:val="00D80643"/>
    <w:rsid w:val="00D806E6"/>
    <w:rsid w:val="00D8083E"/>
    <w:rsid w:val="00D80D2F"/>
    <w:rsid w:val="00D80DE0"/>
    <w:rsid w:val="00D80F72"/>
    <w:rsid w:val="00D815CF"/>
    <w:rsid w:val="00D8225B"/>
    <w:rsid w:val="00D823EC"/>
    <w:rsid w:val="00D82568"/>
    <w:rsid w:val="00D828B0"/>
    <w:rsid w:val="00D82994"/>
    <w:rsid w:val="00D82BD7"/>
    <w:rsid w:val="00D83BAC"/>
    <w:rsid w:val="00D83C4C"/>
    <w:rsid w:val="00D84121"/>
    <w:rsid w:val="00D84310"/>
    <w:rsid w:val="00D84757"/>
    <w:rsid w:val="00D847B6"/>
    <w:rsid w:val="00D84BF4"/>
    <w:rsid w:val="00D85748"/>
    <w:rsid w:val="00D85B45"/>
    <w:rsid w:val="00D85D4A"/>
    <w:rsid w:val="00D8641D"/>
    <w:rsid w:val="00D86A4D"/>
    <w:rsid w:val="00D8709F"/>
    <w:rsid w:val="00D8749E"/>
    <w:rsid w:val="00D87627"/>
    <w:rsid w:val="00D87922"/>
    <w:rsid w:val="00D87E22"/>
    <w:rsid w:val="00D90DCF"/>
    <w:rsid w:val="00D90F55"/>
    <w:rsid w:val="00D9103E"/>
    <w:rsid w:val="00D91324"/>
    <w:rsid w:val="00D91701"/>
    <w:rsid w:val="00D91B12"/>
    <w:rsid w:val="00D91B20"/>
    <w:rsid w:val="00D9213F"/>
    <w:rsid w:val="00D92A65"/>
    <w:rsid w:val="00D92B06"/>
    <w:rsid w:val="00D92C3D"/>
    <w:rsid w:val="00D9386D"/>
    <w:rsid w:val="00D93880"/>
    <w:rsid w:val="00D93B5B"/>
    <w:rsid w:val="00D940C5"/>
    <w:rsid w:val="00D94F67"/>
    <w:rsid w:val="00D95104"/>
    <w:rsid w:val="00D9552A"/>
    <w:rsid w:val="00D95D32"/>
    <w:rsid w:val="00D95DF8"/>
    <w:rsid w:val="00D962AA"/>
    <w:rsid w:val="00D9698B"/>
    <w:rsid w:val="00D97160"/>
    <w:rsid w:val="00D97DE3"/>
    <w:rsid w:val="00DA0300"/>
    <w:rsid w:val="00DA08F4"/>
    <w:rsid w:val="00DA104B"/>
    <w:rsid w:val="00DA15A9"/>
    <w:rsid w:val="00DA1B2C"/>
    <w:rsid w:val="00DA1F79"/>
    <w:rsid w:val="00DA2186"/>
    <w:rsid w:val="00DA2B58"/>
    <w:rsid w:val="00DA3312"/>
    <w:rsid w:val="00DA345A"/>
    <w:rsid w:val="00DA349A"/>
    <w:rsid w:val="00DA4199"/>
    <w:rsid w:val="00DA47EF"/>
    <w:rsid w:val="00DA4ADD"/>
    <w:rsid w:val="00DA4E6B"/>
    <w:rsid w:val="00DA583F"/>
    <w:rsid w:val="00DA594A"/>
    <w:rsid w:val="00DA5B4B"/>
    <w:rsid w:val="00DA62C3"/>
    <w:rsid w:val="00DA6BB2"/>
    <w:rsid w:val="00DA6BB8"/>
    <w:rsid w:val="00DA6CEA"/>
    <w:rsid w:val="00DA73E3"/>
    <w:rsid w:val="00DA76CC"/>
    <w:rsid w:val="00DA7906"/>
    <w:rsid w:val="00DA7C0D"/>
    <w:rsid w:val="00DB087A"/>
    <w:rsid w:val="00DB087C"/>
    <w:rsid w:val="00DB0B54"/>
    <w:rsid w:val="00DB0ED0"/>
    <w:rsid w:val="00DB12D8"/>
    <w:rsid w:val="00DB183E"/>
    <w:rsid w:val="00DB1BC9"/>
    <w:rsid w:val="00DB3250"/>
    <w:rsid w:val="00DB34A5"/>
    <w:rsid w:val="00DB3D84"/>
    <w:rsid w:val="00DB4264"/>
    <w:rsid w:val="00DB4585"/>
    <w:rsid w:val="00DB4B4C"/>
    <w:rsid w:val="00DB4C99"/>
    <w:rsid w:val="00DB4FCF"/>
    <w:rsid w:val="00DB5041"/>
    <w:rsid w:val="00DB591B"/>
    <w:rsid w:val="00DB5CB5"/>
    <w:rsid w:val="00DB649F"/>
    <w:rsid w:val="00DB687B"/>
    <w:rsid w:val="00DB6DC9"/>
    <w:rsid w:val="00DB727F"/>
    <w:rsid w:val="00DB781F"/>
    <w:rsid w:val="00DC00BC"/>
    <w:rsid w:val="00DC00C7"/>
    <w:rsid w:val="00DC087D"/>
    <w:rsid w:val="00DC0BD4"/>
    <w:rsid w:val="00DC0CF0"/>
    <w:rsid w:val="00DC1BE9"/>
    <w:rsid w:val="00DC1F43"/>
    <w:rsid w:val="00DC2373"/>
    <w:rsid w:val="00DC238B"/>
    <w:rsid w:val="00DC2545"/>
    <w:rsid w:val="00DC27FE"/>
    <w:rsid w:val="00DC4105"/>
    <w:rsid w:val="00DC463B"/>
    <w:rsid w:val="00DC48E3"/>
    <w:rsid w:val="00DC4E47"/>
    <w:rsid w:val="00DC4F23"/>
    <w:rsid w:val="00DC549B"/>
    <w:rsid w:val="00DC5788"/>
    <w:rsid w:val="00DC590A"/>
    <w:rsid w:val="00DC65DA"/>
    <w:rsid w:val="00DC6ED5"/>
    <w:rsid w:val="00DC6F04"/>
    <w:rsid w:val="00DC6FAF"/>
    <w:rsid w:val="00DC71AC"/>
    <w:rsid w:val="00DC76CB"/>
    <w:rsid w:val="00DC76E6"/>
    <w:rsid w:val="00DC7919"/>
    <w:rsid w:val="00DC7CFA"/>
    <w:rsid w:val="00DC7F95"/>
    <w:rsid w:val="00DD0B7A"/>
    <w:rsid w:val="00DD0C1E"/>
    <w:rsid w:val="00DD0D0B"/>
    <w:rsid w:val="00DD0D8F"/>
    <w:rsid w:val="00DD0F23"/>
    <w:rsid w:val="00DD0F62"/>
    <w:rsid w:val="00DD11C8"/>
    <w:rsid w:val="00DD160B"/>
    <w:rsid w:val="00DD1648"/>
    <w:rsid w:val="00DD166B"/>
    <w:rsid w:val="00DD1887"/>
    <w:rsid w:val="00DD1F9A"/>
    <w:rsid w:val="00DD2467"/>
    <w:rsid w:val="00DD284F"/>
    <w:rsid w:val="00DD2912"/>
    <w:rsid w:val="00DD2E81"/>
    <w:rsid w:val="00DD30FD"/>
    <w:rsid w:val="00DD385B"/>
    <w:rsid w:val="00DD3B37"/>
    <w:rsid w:val="00DD3F86"/>
    <w:rsid w:val="00DD4148"/>
    <w:rsid w:val="00DD4758"/>
    <w:rsid w:val="00DD50CA"/>
    <w:rsid w:val="00DD5928"/>
    <w:rsid w:val="00DD60A5"/>
    <w:rsid w:val="00DD6483"/>
    <w:rsid w:val="00DD670A"/>
    <w:rsid w:val="00DD6CBF"/>
    <w:rsid w:val="00DD706A"/>
    <w:rsid w:val="00DD7874"/>
    <w:rsid w:val="00DD7ADF"/>
    <w:rsid w:val="00DD7D09"/>
    <w:rsid w:val="00DE01C0"/>
    <w:rsid w:val="00DE036E"/>
    <w:rsid w:val="00DE03FA"/>
    <w:rsid w:val="00DE04A1"/>
    <w:rsid w:val="00DE05DC"/>
    <w:rsid w:val="00DE0C3F"/>
    <w:rsid w:val="00DE100A"/>
    <w:rsid w:val="00DE1547"/>
    <w:rsid w:val="00DE18AE"/>
    <w:rsid w:val="00DE19B3"/>
    <w:rsid w:val="00DE25D6"/>
    <w:rsid w:val="00DE2D60"/>
    <w:rsid w:val="00DE2D9B"/>
    <w:rsid w:val="00DE3263"/>
    <w:rsid w:val="00DE349E"/>
    <w:rsid w:val="00DE4814"/>
    <w:rsid w:val="00DE4CBB"/>
    <w:rsid w:val="00DE536E"/>
    <w:rsid w:val="00DE6021"/>
    <w:rsid w:val="00DE6350"/>
    <w:rsid w:val="00DE6B83"/>
    <w:rsid w:val="00DE6E5B"/>
    <w:rsid w:val="00DE70A3"/>
    <w:rsid w:val="00DE747C"/>
    <w:rsid w:val="00DE76EB"/>
    <w:rsid w:val="00DE79AA"/>
    <w:rsid w:val="00DE7B12"/>
    <w:rsid w:val="00DF00C3"/>
    <w:rsid w:val="00DF0782"/>
    <w:rsid w:val="00DF114A"/>
    <w:rsid w:val="00DF1217"/>
    <w:rsid w:val="00DF26E5"/>
    <w:rsid w:val="00DF2789"/>
    <w:rsid w:val="00DF28A0"/>
    <w:rsid w:val="00DF2A55"/>
    <w:rsid w:val="00DF3508"/>
    <w:rsid w:val="00DF3E1A"/>
    <w:rsid w:val="00DF3E80"/>
    <w:rsid w:val="00DF3E8E"/>
    <w:rsid w:val="00DF4353"/>
    <w:rsid w:val="00DF453C"/>
    <w:rsid w:val="00DF493A"/>
    <w:rsid w:val="00DF4AAE"/>
    <w:rsid w:val="00DF4B41"/>
    <w:rsid w:val="00DF4D4B"/>
    <w:rsid w:val="00DF4E2F"/>
    <w:rsid w:val="00DF512A"/>
    <w:rsid w:val="00DF51F8"/>
    <w:rsid w:val="00DF5235"/>
    <w:rsid w:val="00DF559A"/>
    <w:rsid w:val="00DF5BC0"/>
    <w:rsid w:val="00DF64C7"/>
    <w:rsid w:val="00DF6935"/>
    <w:rsid w:val="00DF69B4"/>
    <w:rsid w:val="00DF6F3B"/>
    <w:rsid w:val="00DF7384"/>
    <w:rsid w:val="00DF7AB3"/>
    <w:rsid w:val="00DF7BFC"/>
    <w:rsid w:val="00E00429"/>
    <w:rsid w:val="00E00709"/>
    <w:rsid w:val="00E00880"/>
    <w:rsid w:val="00E00964"/>
    <w:rsid w:val="00E00DE3"/>
    <w:rsid w:val="00E01C1C"/>
    <w:rsid w:val="00E02702"/>
    <w:rsid w:val="00E02A0B"/>
    <w:rsid w:val="00E02B29"/>
    <w:rsid w:val="00E02F80"/>
    <w:rsid w:val="00E0506F"/>
    <w:rsid w:val="00E05086"/>
    <w:rsid w:val="00E0524D"/>
    <w:rsid w:val="00E055FD"/>
    <w:rsid w:val="00E057F0"/>
    <w:rsid w:val="00E05860"/>
    <w:rsid w:val="00E0607F"/>
    <w:rsid w:val="00E066F4"/>
    <w:rsid w:val="00E06990"/>
    <w:rsid w:val="00E06B63"/>
    <w:rsid w:val="00E07060"/>
    <w:rsid w:val="00E07483"/>
    <w:rsid w:val="00E079B6"/>
    <w:rsid w:val="00E07CB6"/>
    <w:rsid w:val="00E1027B"/>
    <w:rsid w:val="00E102C3"/>
    <w:rsid w:val="00E10500"/>
    <w:rsid w:val="00E10C7E"/>
    <w:rsid w:val="00E1148F"/>
    <w:rsid w:val="00E11DB8"/>
    <w:rsid w:val="00E11F8A"/>
    <w:rsid w:val="00E1235E"/>
    <w:rsid w:val="00E124A8"/>
    <w:rsid w:val="00E12607"/>
    <w:rsid w:val="00E12BC9"/>
    <w:rsid w:val="00E1319F"/>
    <w:rsid w:val="00E1324E"/>
    <w:rsid w:val="00E1372F"/>
    <w:rsid w:val="00E13D93"/>
    <w:rsid w:val="00E13F34"/>
    <w:rsid w:val="00E1402B"/>
    <w:rsid w:val="00E14168"/>
    <w:rsid w:val="00E14290"/>
    <w:rsid w:val="00E14905"/>
    <w:rsid w:val="00E14E0F"/>
    <w:rsid w:val="00E14E12"/>
    <w:rsid w:val="00E151E9"/>
    <w:rsid w:val="00E155D7"/>
    <w:rsid w:val="00E15BEC"/>
    <w:rsid w:val="00E15CF9"/>
    <w:rsid w:val="00E16058"/>
    <w:rsid w:val="00E166C9"/>
    <w:rsid w:val="00E167B8"/>
    <w:rsid w:val="00E17C7A"/>
    <w:rsid w:val="00E17F4B"/>
    <w:rsid w:val="00E201F0"/>
    <w:rsid w:val="00E20605"/>
    <w:rsid w:val="00E2066A"/>
    <w:rsid w:val="00E2079B"/>
    <w:rsid w:val="00E208CD"/>
    <w:rsid w:val="00E209AF"/>
    <w:rsid w:val="00E20A61"/>
    <w:rsid w:val="00E20DB0"/>
    <w:rsid w:val="00E210EC"/>
    <w:rsid w:val="00E21262"/>
    <w:rsid w:val="00E213C9"/>
    <w:rsid w:val="00E21F3B"/>
    <w:rsid w:val="00E225FF"/>
    <w:rsid w:val="00E22868"/>
    <w:rsid w:val="00E2293D"/>
    <w:rsid w:val="00E22B23"/>
    <w:rsid w:val="00E22EBC"/>
    <w:rsid w:val="00E2391D"/>
    <w:rsid w:val="00E23A5D"/>
    <w:rsid w:val="00E23B83"/>
    <w:rsid w:val="00E24357"/>
    <w:rsid w:val="00E253B1"/>
    <w:rsid w:val="00E25A31"/>
    <w:rsid w:val="00E25A51"/>
    <w:rsid w:val="00E25AA8"/>
    <w:rsid w:val="00E25B63"/>
    <w:rsid w:val="00E25C14"/>
    <w:rsid w:val="00E2607E"/>
    <w:rsid w:val="00E264FD"/>
    <w:rsid w:val="00E26D97"/>
    <w:rsid w:val="00E2761C"/>
    <w:rsid w:val="00E27A7A"/>
    <w:rsid w:val="00E27B2E"/>
    <w:rsid w:val="00E3062A"/>
    <w:rsid w:val="00E306E1"/>
    <w:rsid w:val="00E30C1A"/>
    <w:rsid w:val="00E30F3C"/>
    <w:rsid w:val="00E313AA"/>
    <w:rsid w:val="00E3157F"/>
    <w:rsid w:val="00E318FB"/>
    <w:rsid w:val="00E31BA4"/>
    <w:rsid w:val="00E32241"/>
    <w:rsid w:val="00E3285C"/>
    <w:rsid w:val="00E32B71"/>
    <w:rsid w:val="00E32F9D"/>
    <w:rsid w:val="00E3330A"/>
    <w:rsid w:val="00E3389F"/>
    <w:rsid w:val="00E33FB9"/>
    <w:rsid w:val="00E340A1"/>
    <w:rsid w:val="00E34992"/>
    <w:rsid w:val="00E34A09"/>
    <w:rsid w:val="00E34C1C"/>
    <w:rsid w:val="00E34CF8"/>
    <w:rsid w:val="00E35247"/>
    <w:rsid w:val="00E3582C"/>
    <w:rsid w:val="00E362A3"/>
    <w:rsid w:val="00E365C8"/>
    <w:rsid w:val="00E3681C"/>
    <w:rsid w:val="00E36E64"/>
    <w:rsid w:val="00E373AF"/>
    <w:rsid w:val="00E3740D"/>
    <w:rsid w:val="00E377D2"/>
    <w:rsid w:val="00E3799E"/>
    <w:rsid w:val="00E404E0"/>
    <w:rsid w:val="00E404EC"/>
    <w:rsid w:val="00E40616"/>
    <w:rsid w:val="00E410F1"/>
    <w:rsid w:val="00E41660"/>
    <w:rsid w:val="00E41A03"/>
    <w:rsid w:val="00E41A6B"/>
    <w:rsid w:val="00E42064"/>
    <w:rsid w:val="00E421FB"/>
    <w:rsid w:val="00E423DE"/>
    <w:rsid w:val="00E426E1"/>
    <w:rsid w:val="00E428B0"/>
    <w:rsid w:val="00E42BC3"/>
    <w:rsid w:val="00E42CA6"/>
    <w:rsid w:val="00E43553"/>
    <w:rsid w:val="00E43638"/>
    <w:rsid w:val="00E43E25"/>
    <w:rsid w:val="00E44237"/>
    <w:rsid w:val="00E442AE"/>
    <w:rsid w:val="00E44375"/>
    <w:rsid w:val="00E444A3"/>
    <w:rsid w:val="00E44794"/>
    <w:rsid w:val="00E44BF1"/>
    <w:rsid w:val="00E45100"/>
    <w:rsid w:val="00E4565B"/>
    <w:rsid w:val="00E45B51"/>
    <w:rsid w:val="00E46878"/>
    <w:rsid w:val="00E46C06"/>
    <w:rsid w:val="00E473DB"/>
    <w:rsid w:val="00E477E0"/>
    <w:rsid w:val="00E479AE"/>
    <w:rsid w:val="00E47A58"/>
    <w:rsid w:val="00E47B2A"/>
    <w:rsid w:val="00E47EA3"/>
    <w:rsid w:val="00E50007"/>
    <w:rsid w:val="00E50373"/>
    <w:rsid w:val="00E50579"/>
    <w:rsid w:val="00E50797"/>
    <w:rsid w:val="00E5200E"/>
    <w:rsid w:val="00E527B2"/>
    <w:rsid w:val="00E527BA"/>
    <w:rsid w:val="00E527E8"/>
    <w:rsid w:val="00E5288A"/>
    <w:rsid w:val="00E528CF"/>
    <w:rsid w:val="00E52C58"/>
    <w:rsid w:val="00E532E5"/>
    <w:rsid w:val="00E53796"/>
    <w:rsid w:val="00E53A27"/>
    <w:rsid w:val="00E53B77"/>
    <w:rsid w:val="00E54363"/>
    <w:rsid w:val="00E54582"/>
    <w:rsid w:val="00E548B7"/>
    <w:rsid w:val="00E548F8"/>
    <w:rsid w:val="00E54C26"/>
    <w:rsid w:val="00E54D94"/>
    <w:rsid w:val="00E550BC"/>
    <w:rsid w:val="00E55267"/>
    <w:rsid w:val="00E55572"/>
    <w:rsid w:val="00E5571D"/>
    <w:rsid w:val="00E55759"/>
    <w:rsid w:val="00E55AB6"/>
    <w:rsid w:val="00E5653B"/>
    <w:rsid w:val="00E565CA"/>
    <w:rsid w:val="00E56F6A"/>
    <w:rsid w:val="00E57061"/>
    <w:rsid w:val="00E570B4"/>
    <w:rsid w:val="00E57115"/>
    <w:rsid w:val="00E5752B"/>
    <w:rsid w:val="00E57BED"/>
    <w:rsid w:val="00E57DFB"/>
    <w:rsid w:val="00E605B2"/>
    <w:rsid w:val="00E6098C"/>
    <w:rsid w:val="00E60C89"/>
    <w:rsid w:val="00E60CA1"/>
    <w:rsid w:val="00E610E6"/>
    <w:rsid w:val="00E612DB"/>
    <w:rsid w:val="00E61501"/>
    <w:rsid w:val="00E6195E"/>
    <w:rsid w:val="00E61D1F"/>
    <w:rsid w:val="00E6215E"/>
    <w:rsid w:val="00E6218F"/>
    <w:rsid w:val="00E626F3"/>
    <w:rsid w:val="00E62A80"/>
    <w:rsid w:val="00E62F81"/>
    <w:rsid w:val="00E6344E"/>
    <w:rsid w:val="00E63C34"/>
    <w:rsid w:val="00E64261"/>
    <w:rsid w:val="00E644E9"/>
    <w:rsid w:val="00E64580"/>
    <w:rsid w:val="00E64714"/>
    <w:rsid w:val="00E64E58"/>
    <w:rsid w:val="00E65146"/>
    <w:rsid w:val="00E6590E"/>
    <w:rsid w:val="00E659F9"/>
    <w:rsid w:val="00E65EC1"/>
    <w:rsid w:val="00E66205"/>
    <w:rsid w:val="00E66B34"/>
    <w:rsid w:val="00E67070"/>
    <w:rsid w:val="00E67E53"/>
    <w:rsid w:val="00E70676"/>
    <w:rsid w:val="00E709BC"/>
    <w:rsid w:val="00E70FCD"/>
    <w:rsid w:val="00E71146"/>
    <w:rsid w:val="00E71542"/>
    <w:rsid w:val="00E718FB"/>
    <w:rsid w:val="00E71974"/>
    <w:rsid w:val="00E728FE"/>
    <w:rsid w:val="00E739C4"/>
    <w:rsid w:val="00E739FF"/>
    <w:rsid w:val="00E73DD0"/>
    <w:rsid w:val="00E7404D"/>
    <w:rsid w:val="00E74399"/>
    <w:rsid w:val="00E75603"/>
    <w:rsid w:val="00E75A4D"/>
    <w:rsid w:val="00E75D56"/>
    <w:rsid w:val="00E75DFD"/>
    <w:rsid w:val="00E76134"/>
    <w:rsid w:val="00E76371"/>
    <w:rsid w:val="00E7637B"/>
    <w:rsid w:val="00E767A7"/>
    <w:rsid w:val="00E767EE"/>
    <w:rsid w:val="00E76DE0"/>
    <w:rsid w:val="00E773A8"/>
    <w:rsid w:val="00E77F61"/>
    <w:rsid w:val="00E800AC"/>
    <w:rsid w:val="00E801A4"/>
    <w:rsid w:val="00E802C4"/>
    <w:rsid w:val="00E8042C"/>
    <w:rsid w:val="00E80593"/>
    <w:rsid w:val="00E80768"/>
    <w:rsid w:val="00E80A6A"/>
    <w:rsid w:val="00E80F92"/>
    <w:rsid w:val="00E81457"/>
    <w:rsid w:val="00E81766"/>
    <w:rsid w:val="00E82092"/>
    <w:rsid w:val="00E822B8"/>
    <w:rsid w:val="00E82664"/>
    <w:rsid w:val="00E82B78"/>
    <w:rsid w:val="00E82F9E"/>
    <w:rsid w:val="00E8302A"/>
    <w:rsid w:val="00E83232"/>
    <w:rsid w:val="00E832AE"/>
    <w:rsid w:val="00E83368"/>
    <w:rsid w:val="00E83707"/>
    <w:rsid w:val="00E83CE4"/>
    <w:rsid w:val="00E83F25"/>
    <w:rsid w:val="00E84112"/>
    <w:rsid w:val="00E84125"/>
    <w:rsid w:val="00E84275"/>
    <w:rsid w:val="00E84C61"/>
    <w:rsid w:val="00E84D29"/>
    <w:rsid w:val="00E852C8"/>
    <w:rsid w:val="00E85CAB"/>
    <w:rsid w:val="00E86207"/>
    <w:rsid w:val="00E86BB6"/>
    <w:rsid w:val="00E86EEB"/>
    <w:rsid w:val="00E877ED"/>
    <w:rsid w:val="00E90274"/>
    <w:rsid w:val="00E90FBB"/>
    <w:rsid w:val="00E911E5"/>
    <w:rsid w:val="00E913B4"/>
    <w:rsid w:val="00E915B1"/>
    <w:rsid w:val="00E91C3D"/>
    <w:rsid w:val="00E91F29"/>
    <w:rsid w:val="00E9260A"/>
    <w:rsid w:val="00E92A54"/>
    <w:rsid w:val="00E93FD7"/>
    <w:rsid w:val="00E9406D"/>
    <w:rsid w:val="00E944DC"/>
    <w:rsid w:val="00E94819"/>
    <w:rsid w:val="00E949BF"/>
    <w:rsid w:val="00E94BF0"/>
    <w:rsid w:val="00E952A1"/>
    <w:rsid w:val="00E95428"/>
    <w:rsid w:val="00E9565C"/>
    <w:rsid w:val="00E95755"/>
    <w:rsid w:val="00E95823"/>
    <w:rsid w:val="00E95E67"/>
    <w:rsid w:val="00E96080"/>
    <w:rsid w:val="00E96208"/>
    <w:rsid w:val="00E96466"/>
    <w:rsid w:val="00E964BB"/>
    <w:rsid w:val="00E96A13"/>
    <w:rsid w:val="00E9701A"/>
    <w:rsid w:val="00E97061"/>
    <w:rsid w:val="00E9722C"/>
    <w:rsid w:val="00E973A5"/>
    <w:rsid w:val="00E97672"/>
    <w:rsid w:val="00E97995"/>
    <w:rsid w:val="00E97B68"/>
    <w:rsid w:val="00E97F1F"/>
    <w:rsid w:val="00EA0423"/>
    <w:rsid w:val="00EA0BD1"/>
    <w:rsid w:val="00EA0D85"/>
    <w:rsid w:val="00EA0DC9"/>
    <w:rsid w:val="00EA0F74"/>
    <w:rsid w:val="00EA1E19"/>
    <w:rsid w:val="00EA2043"/>
    <w:rsid w:val="00EA28A7"/>
    <w:rsid w:val="00EA2962"/>
    <w:rsid w:val="00EA2C23"/>
    <w:rsid w:val="00EA40C9"/>
    <w:rsid w:val="00EA489E"/>
    <w:rsid w:val="00EA506B"/>
    <w:rsid w:val="00EA5564"/>
    <w:rsid w:val="00EA57B9"/>
    <w:rsid w:val="00EA58A1"/>
    <w:rsid w:val="00EA58E3"/>
    <w:rsid w:val="00EA5B14"/>
    <w:rsid w:val="00EA5B2B"/>
    <w:rsid w:val="00EA6054"/>
    <w:rsid w:val="00EA61FF"/>
    <w:rsid w:val="00EA65E5"/>
    <w:rsid w:val="00EA6BE2"/>
    <w:rsid w:val="00EA6ECA"/>
    <w:rsid w:val="00EA6F53"/>
    <w:rsid w:val="00EA6FA5"/>
    <w:rsid w:val="00EA7F4E"/>
    <w:rsid w:val="00EB015C"/>
    <w:rsid w:val="00EB0211"/>
    <w:rsid w:val="00EB025F"/>
    <w:rsid w:val="00EB06D0"/>
    <w:rsid w:val="00EB0736"/>
    <w:rsid w:val="00EB139F"/>
    <w:rsid w:val="00EB1B33"/>
    <w:rsid w:val="00EB1C5C"/>
    <w:rsid w:val="00EB1DC5"/>
    <w:rsid w:val="00EB1EEA"/>
    <w:rsid w:val="00EB2ABE"/>
    <w:rsid w:val="00EB2DD0"/>
    <w:rsid w:val="00EB3022"/>
    <w:rsid w:val="00EB3149"/>
    <w:rsid w:val="00EB359B"/>
    <w:rsid w:val="00EB3698"/>
    <w:rsid w:val="00EB3751"/>
    <w:rsid w:val="00EB385F"/>
    <w:rsid w:val="00EB3B2C"/>
    <w:rsid w:val="00EB3EFC"/>
    <w:rsid w:val="00EB3F59"/>
    <w:rsid w:val="00EB42A1"/>
    <w:rsid w:val="00EB4F0F"/>
    <w:rsid w:val="00EB4F50"/>
    <w:rsid w:val="00EB6A15"/>
    <w:rsid w:val="00EB70DA"/>
    <w:rsid w:val="00EB74E0"/>
    <w:rsid w:val="00EB75EC"/>
    <w:rsid w:val="00EB7728"/>
    <w:rsid w:val="00EB7C23"/>
    <w:rsid w:val="00EB7EAC"/>
    <w:rsid w:val="00EC0112"/>
    <w:rsid w:val="00EC014E"/>
    <w:rsid w:val="00EC0300"/>
    <w:rsid w:val="00EC0B59"/>
    <w:rsid w:val="00EC13D0"/>
    <w:rsid w:val="00EC1C1E"/>
    <w:rsid w:val="00EC1F9D"/>
    <w:rsid w:val="00EC287F"/>
    <w:rsid w:val="00EC290B"/>
    <w:rsid w:val="00EC2D84"/>
    <w:rsid w:val="00EC339E"/>
    <w:rsid w:val="00EC41DC"/>
    <w:rsid w:val="00EC454E"/>
    <w:rsid w:val="00EC4D63"/>
    <w:rsid w:val="00EC4E23"/>
    <w:rsid w:val="00EC4E9D"/>
    <w:rsid w:val="00EC5135"/>
    <w:rsid w:val="00EC520A"/>
    <w:rsid w:val="00EC5284"/>
    <w:rsid w:val="00EC5CDC"/>
    <w:rsid w:val="00EC62FA"/>
    <w:rsid w:val="00EC67A4"/>
    <w:rsid w:val="00EC72A4"/>
    <w:rsid w:val="00EC7502"/>
    <w:rsid w:val="00EC7543"/>
    <w:rsid w:val="00EC7663"/>
    <w:rsid w:val="00EC77F9"/>
    <w:rsid w:val="00EC7D71"/>
    <w:rsid w:val="00ED0261"/>
    <w:rsid w:val="00ED061E"/>
    <w:rsid w:val="00ED064C"/>
    <w:rsid w:val="00ED0A08"/>
    <w:rsid w:val="00ED0D29"/>
    <w:rsid w:val="00ED1578"/>
    <w:rsid w:val="00ED1A27"/>
    <w:rsid w:val="00ED2800"/>
    <w:rsid w:val="00ED2B48"/>
    <w:rsid w:val="00ED2C1F"/>
    <w:rsid w:val="00ED2FCC"/>
    <w:rsid w:val="00ED3161"/>
    <w:rsid w:val="00ED345B"/>
    <w:rsid w:val="00ED39C0"/>
    <w:rsid w:val="00ED3B6D"/>
    <w:rsid w:val="00ED3C15"/>
    <w:rsid w:val="00ED41D5"/>
    <w:rsid w:val="00ED4CBF"/>
    <w:rsid w:val="00ED4DC5"/>
    <w:rsid w:val="00ED4EE8"/>
    <w:rsid w:val="00ED53C7"/>
    <w:rsid w:val="00ED53FC"/>
    <w:rsid w:val="00ED588A"/>
    <w:rsid w:val="00ED5B4C"/>
    <w:rsid w:val="00ED6234"/>
    <w:rsid w:val="00ED6A25"/>
    <w:rsid w:val="00ED6D58"/>
    <w:rsid w:val="00ED7325"/>
    <w:rsid w:val="00ED78A4"/>
    <w:rsid w:val="00ED7A1E"/>
    <w:rsid w:val="00ED7D07"/>
    <w:rsid w:val="00EE0770"/>
    <w:rsid w:val="00EE0A0F"/>
    <w:rsid w:val="00EE1C1F"/>
    <w:rsid w:val="00EE1EB5"/>
    <w:rsid w:val="00EE2676"/>
    <w:rsid w:val="00EE275C"/>
    <w:rsid w:val="00EE2D1E"/>
    <w:rsid w:val="00EE3683"/>
    <w:rsid w:val="00EE3AE1"/>
    <w:rsid w:val="00EE4471"/>
    <w:rsid w:val="00EE4774"/>
    <w:rsid w:val="00EE4A8F"/>
    <w:rsid w:val="00EE50C3"/>
    <w:rsid w:val="00EE543E"/>
    <w:rsid w:val="00EE6288"/>
    <w:rsid w:val="00EE6407"/>
    <w:rsid w:val="00EE64F4"/>
    <w:rsid w:val="00EE681E"/>
    <w:rsid w:val="00EE736A"/>
    <w:rsid w:val="00EE7930"/>
    <w:rsid w:val="00EE7C32"/>
    <w:rsid w:val="00EF0190"/>
    <w:rsid w:val="00EF0720"/>
    <w:rsid w:val="00EF1667"/>
    <w:rsid w:val="00EF167C"/>
    <w:rsid w:val="00EF1F01"/>
    <w:rsid w:val="00EF209A"/>
    <w:rsid w:val="00EF22FF"/>
    <w:rsid w:val="00EF2A9A"/>
    <w:rsid w:val="00EF2F5E"/>
    <w:rsid w:val="00EF3483"/>
    <w:rsid w:val="00EF3C0E"/>
    <w:rsid w:val="00EF3E4D"/>
    <w:rsid w:val="00EF428D"/>
    <w:rsid w:val="00EF44A7"/>
    <w:rsid w:val="00EF4F26"/>
    <w:rsid w:val="00EF5344"/>
    <w:rsid w:val="00EF53E5"/>
    <w:rsid w:val="00EF550F"/>
    <w:rsid w:val="00EF5548"/>
    <w:rsid w:val="00EF5815"/>
    <w:rsid w:val="00EF608C"/>
    <w:rsid w:val="00EF6274"/>
    <w:rsid w:val="00EF6277"/>
    <w:rsid w:val="00EF62B4"/>
    <w:rsid w:val="00EF6975"/>
    <w:rsid w:val="00EF7BD4"/>
    <w:rsid w:val="00F00BCF"/>
    <w:rsid w:val="00F00CD7"/>
    <w:rsid w:val="00F00D40"/>
    <w:rsid w:val="00F00F13"/>
    <w:rsid w:val="00F01286"/>
    <w:rsid w:val="00F01719"/>
    <w:rsid w:val="00F0188C"/>
    <w:rsid w:val="00F01CE6"/>
    <w:rsid w:val="00F01CF9"/>
    <w:rsid w:val="00F02006"/>
    <w:rsid w:val="00F02102"/>
    <w:rsid w:val="00F02886"/>
    <w:rsid w:val="00F0319F"/>
    <w:rsid w:val="00F039E0"/>
    <w:rsid w:val="00F03CC7"/>
    <w:rsid w:val="00F03F6C"/>
    <w:rsid w:val="00F04055"/>
    <w:rsid w:val="00F0432D"/>
    <w:rsid w:val="00F04347"/>
    <w:rsid w:val="00F04691"/>
    <w:rsid w:val="00F04B40"/>
    <w:rsid w:val="00F050D1"/>
    <w:rsid w:val="00F053B6"/>
    <w:rsid w:val="00F05812"/>
    <w:rsid w:val="00F05944"/>
    <w:rsid w:val="00F06A99"/>
    <w:rsid w:val="00F06F08"/>
    <w:rsid w:val="00F07730"/>
    <w:rsid w:val="00F07D19"/>
    <w:rsid w:val="00F07F52"/>
    <w:rsid w:val="00F1013B"/>
    <w:rsid w:val="00F102A9"/>
    <w:rsid w:val="00F1074C"/>
    <w:rsid w:val="00F1089B"/>
    <w:rsid w:val="00F11056"/>
    <w:rsid w:val="00F11B9B"/>
    <w:rsid w:val="00F11C10"/>
    <w:rsid w:val="00F12463"/>
    <w:rsid w:val="00F12880"/>
    <w:rsid w:val="00F12FD1"/>
    <w:rsid w:val="00F13174"/>
    <w:rsid w:val="00F13284"/>
    <w:rsid w:val="00F13828"/>
    <w:rsid w:val="00F13AA0"/>
    <w:rsid w:val="00F13D59"/>
    <w:rsid w:val="00F13DA9"/>
    <w:rsid w:val="00F13F0C"/>
    <w:rsid w:val="00F14255"/>
    <w:rsid w:val="00F1438E"/>
    <w:rsid w:val="00F1487E"/>
    <w:rsid w:val="00F14DED"/>
    <w:rsid w:val="00F14FE9"/>
    <w:rsid w:val="00F153A0"/>
    <w:rsid w:val="00F1681E"/>
    <w:rsid w:val="00F16BC7"/>
    <w:rsid w:val="00F16D88"/>
    <w:rsid w:val="00F1717B"/>
    <w:rsid w:val="00F17887"/>
    <w:rsid w:val="00F17984"/>
    <w:rsid w:val="00F17AE6"/>
    <w:rsid w:val="00F201DD"/>
    <w:rsid w:val="00F2024B"/>
    <w:rsid w:val="00F2036C"/>
    <w:rsid w:val="00F20483"/>
    <w:rsid w:val="00F204BB"/>
    <w:rsid w:val="00F20557"/>
    <w:rsid w:val="00F20E9B"/>
    <w:rsid w:val="00F21358"/>
    <w:rsid w:val="00F2145C"/>
    <w:rsid w:val="00F2150B"/>
    <w:rsid w:val="00F22317"/>
    <w:rsid w:val="00F2294E"/>
    <w:rsid w:val="00F22BC1"/>
    <w:rsid w:val="00F22D82"/>
    <w:rsid w:val="00F22F9E"/>
    <w:rsid w:val="00F233FE"/>
    <w:rsid w:val="00F2453C"/>
    <w:rsid w:val="00F24B4E"/>
    <w:rsid w:val="00F24E01"/>
    <w:rsid w:val="00F251C7"/>
    <w:rsid w:val="00F25822"/>
    <w:rsid w:val="00F25A71"/>
    <w:rsid w:val="00F25CEC"/>
    <w:rsid w:val="00F25E9A"/>
    <w:rsid w:val="00F26055"/>
    <w:rsid w:val="00F26253"/>
    <w:rsid w:val="00F26D38"/>
    <w:rsid w:val="00F26D66"/>
    <w:rsid w:val="00F26F23"/>
    <w:rsid w:val="00F27029"/>
    <w:rsid w:val="00F2706D"/>
    <w:rsid w:val="00F27556"/>
    <w:rsid w:val="00F275C7"/>
    <w:rsid w:val="00F277D4"/>
    <w:rsid w:val="00F27BEE"/>
    <w:rsid w:val="00F27DE2"/>
    <w:rsid w:val="00F3065B"/>
    <w:rsid w:val="00F30810"/>
    <w:rsid w:val="00F308D1"/>
    <w:rsid w:val="00F3116A"/>
    <w:rsid w:val="00F311B3"/>
    <w:rsid w:val="00F316FD"/>
    <w:rsid w:val="00F317D9"/>
    <w:rsid w:val="00F318DD"/>
    <w:rsid w:val="00F318F5"/>
    <w:rsid w:val="00F31902"/>
    <w:rsid w:val="00F3197E"/>
    <w:rsid w:val="00F31D1C"/>
    <w:rsid w:val="00F32B4D"/>
    <w:rsid w:val="00F32B71"/>
    <w:rsid w:val="00F33067"/>
    <w:rsid w:val="00F33841"/>
    <w:rsid w:val="00F33911"/>
    <w:rsid w:val="00F33A79"/>
    <w:rsid w:val="00F344CE"/>
    <w:rsid w:val="00F344ED"/>
    <w:rsid w:val="00F34A70"/>
    <w:rsid w:val="00F34D49"/>
    <w:rsid w:val="00F34DCB"/>
    <w:rsid w:val="00F34F97"/>
    <w:rsid w:val="00F35011"/>
    <w:rsid w:val="00F35143"/>
    <w:rsid w:val="00F35B6D"/>
    <w:rsid w:val="00F35F52"/>
    <w:rsid w:val="00F3632F"/>
    <w:rsid w:val="00F363C0"/>
    <w:rsid w:val="00F3670D"/>
    <w:rsid w:val="00F36B42"/>
    <w:rsid w:val="00F36D54"/>
    <w:rsid w:val="00F3749C"/>
    <w:rsid w:val="00F3764C"/>
    <w:rsid w:val="00F3777D"/>
    <w:rsid w:val="00F37C51"/>
    <w:rsid w:val="00F400F4"/>
    <w:rsid w:val="00F40149"/>
    <w:rsid w:val="00F406C9"/>
    <w:rsid w:val="00F40965"/>
    <w:rsid w:val="00F417D6"/>
    <w:rsid w:val="00F41AB4"/>
    <w:rsid w:val="00F41DF2"/>
    <w:rsid w:val="00F42862"/>
    <w:rsid w:val="00F429A7"/>
    <w:rsid w:val="00F42E18"/>
    <w:rsid w:val="00F4316F"/>
    <w:rsid w:val="00F431D9"/>
    <w:rsid w:val="00F43342"/>
    <w:rsid w:val="00F43EAE"/>
    <w:rsid w:val="00F44002"/>
    <w:rsid w:val="00F441F0"/>
    <w:rsid w:val="00F442EE"/>
    <w:rsid w:val="00F4437F"/>
    <w:rsid w:val="00F4461D"/>
    <w:rsid w:val="00F44C9D"/>
    <w:rsid w:val="00F44FAC"/>
    <w:rsid w:val="00F45872"/>
    <w:rsid w:val="00F45E70"/>
    <w:rsid w:val="00F45EEA"/>
    <w:rsid w:val="00F4621D"/>
    <w:rsid w:val="00F46977"/>
    <w:rsid w:val="00F46997"/>
    <w:rsid w:val="00F46CAD"/>
    <w:rsid w:val="00F46EDD"/>
    <w:rsid w:val="00F47078"/>
    <w:rsid w:val="00F4708A"/>
    <w:rsid w:val="00F479D4"/>
    <w:rsid w:val="00F47C59"/>
    <w:rsid w:val="00F47FF0"/>
    <w:rsid w:val="00F50B89"/>
    <w:rsid w:val="00F50C5B"/>
    <w:rsid w:val="00F50DAD"/>
    <w:rsid w:val="00F5157C"/>
    <w:rsid w:val="00F51B65"/>
    <w:rsid w:val="00F524BF"/>
    <w:rsid w:val="00F5267D"/>
    <w:rsid w:val="00F534D2"/>
    <w:rsid w:val="00F53682"/>
    <w:rsid w:val="00F5386D"/>
    <w:rsid w:val="00F53CCB"/>
    <w:rsid w:val="00F543F7"/>
    <w:rsid w:val="00F54B47"/>
    <w:rsid w:val="00F54B97"/>
    <w:rsid w:val="00F54E82"/>
    <w:rsid w:val="00F5517B"/>
    <w:rsid w:val="00F5577B"/>
    <w:rsid w:val="00F557E8"/>
    <w:rsid w:val="00F55805"/>
    <w:rsid w:val="00F558B8"/>
    <w:rsid w:val="00F55AE2"/>
    <w:rsid w:val="00F55F17"/>
    <w:rsid w:val="00F562BE"/>
    <w:rsid w:val="00F56344"/>
    <w:rsid w:val="00F56951"/>
    <w:rsid w:val="00F56BF6"/>
    <w:rsid w:val="00F56E49"/>
    <w:rsid w:val="00F570AE"/>
    <w:rsid w:val="00F57944"/>
    <w:rsid w:val="00F57F01"/>
    <w:rsid w:val="00F60056"/>
    <w:rsid w:val="00F60960"/>
    <w:rsid w:val="00F60EEB"/>
    <w:rsid w:val="00F61195"/>
    <w:rsid w:val="00F617DA"/>
    <w:rsid w:val="00F61858"/>
    <w:rsid w:val="00F62057"/>
    <w:rsid w:val="00F621C7"/>
    <w:rsid w:val="00F62564"/>
    <w:rsid w:val="00F625E2"/>
    <w:rsid w:val="00F626D7"/>
    <w:rsid w:val="00F629E2"/>
    <w:rsid w:val="00F629FE"/>
    <w:rsid w:val="00F62A39"/>
    <w:rsid w:val="00F62B15"/>
    <w:rsid w:val="00F63288"/>
    <w:rsid w:val="00F63349"/>
    <w:rsid w:val="00F6423F"/>
    <w:rsid w:val="00F64317"/>
    <w:rsid w:val="00F64A52"/>
    <w:rsid w:val="00F65014"/>
    <w:rsid w:val="00F651D9"/>
    <w:rsid w:val="00F65BCF"/>
    <w:rsid w:val="00F6617D"/>
    <w:rsid w:val="00F66F70"/>
    <w:rsid w:val="00F675EE"/>
    <w:rsid w:val="00F67BB4"/>
    <w:rsid w:val="00F67D1B"/>
    <w:rsid w:val="00F67FB3"/>
    <w:rsid w:val="00F7033E"/>
    <w:rsid w:val="00F703B9"/>
    <w:rsid w:val="00F70CC5"/>
    <w:rsid w:val="00F710E0"/>
    <w:rsid w:val="00F7131F"/>
    <w:rsid w:val="00F715AC"/>
    <w:rsid w:val="00F717E2"/>
    <w:rsid w:val="00F71CF6"/>
    <w:rsid w:val="00F72A57"/>
    <w:rsid w:val="00F732E4"/>
    <w:rsid w:val="00F737BF"/>
    <w:rsid w:val="00F73A22"/>
    <w:rsid w:val="00F73F60"/>
    <w:rsid w:val="00F74127"/>
    <w:rsid w:val="00F743CB"/>
    <w:rsid w:val="00F74428"/>
    <w:rsid w:val="00F7610F"/>
    <w:rsid w:val="00F7612E"/>
    <w:rsid w:val="00F7704D"/>
    <w:rsid w:val="00F7755C"/>
    <w:rsid w:val="00F777D9"/>
    <w:rsid w:val="00F77D15"/>
    <w:rsid w:val="00F77F45"/>
    <w:rsid w:val="00F80AD7"/>
    <w:rsid w:val="00F810DB"/>
    <w:rsid w:val="00F8135D"/>
    <w:rsid w:val="00F81908"/>
    <w:rsid w:val="00F819E3"/>
    <w:rsid w:val="00F81BBE"/>
    <w:rsid w:val="00F827DC"/>
    <w:rsid w:val="00F827EC"/>
    <w:rsid w:val="00F8298F"/>
    <w:rsid w:val="00F829A6"/>
    <w:rsid w:val="00F82B99"/>
    <w:rsid w:val="00F82BBB"/>
    <w:rsid w:val="00F82E30"/>
    <w:rsid w:val="00F82F29"/>
    <w:rsid w:val="00F83342"/>
    <w:rsid w:val="00F8339B"/>
    <w:rsid w:val="00F83877"/>
    <w:rsid w:val="00F83956"/>
    <w:rsid w:val="00F83D56"/>
    <w:rsid w:val="00F8464E"/>
    <w:rsid w:val="00F84AF2"/>
    <w:rsid w:val="00F85AE2"/>
    <w:rsid w:val="00F85F75"/>
    <w:rsid w:val="00F866B4"/>
    <w:rsid w:val="00F86C82"/>
    <w:rsid w:val="00F87017"/>
    <w:rsid w:val="00F8731F"/>
    <w:rsid w:val="00F873F3"/>
    <w:rsid w:val="00F87B39"/>
    <w:rsid w:val="00F87D4F"/>
    <w:rsid w:val="00F902A2"/>
    <w:rsid w:val="00F90C09"/>
    <w:rsid w:val="00F90CC4"/>
    <w:rsid w:val="00F910A6"/>
    <w:rsid w:val="00F912D8"/>
    <w:rsid w:val="00F9174F"/>
    <w:rsid w:val="00F91A59"/>
    <w:rsid w:val="00F91FA2"/>
    <w:rsid w:val="00F921B2"/>
    <w:rsid w:val="00F9254A"/>
    <w:rsid w:val="00F9273E"/>
    <w:rsid w:val="00F93D6F"/>
    <w:rsid w:val="00F94CAA"/>
    <w:rsid w:val="00F950B0"/>
    <w:rsid w:val="00F950E9"/>
    <w:rsid w:val="00F9582A"/>
    <w:rsid w:val="00F95D0E"/>
    <w:rsid w:val="00F95D95"/>
    <w:rsid w:val="00F967BB"/>
    <w:rsid w:val="00F9681D"/>
    <w:rsid w:val="00F96BF7"/>
    <w:rsid w:val="00F96E78"/>
    <w:rsid w:val="00F971B2"/>
    <w:rsid w:val="00F97460"/>
    <w:rsid w:val="00F978FF"/>
    <w:rsid w:val="00F97DAB"/>
    <w:rsid w:val="00FA016C"/>
    <w:rsid w:val="00FA01F3"/>
    <w:rsid w:val="00FA0FAD"/>
    <w:rsid w:val="00FA14DF"/>
    <w:rsid w:val="00FA151C"/>
    <w:rsid w:val="00FA175C"/>
    <w:rsid w:val="00FA1899"/>
    <w:rsid w:val="00FA1F78"/>
    <w:rsid w:val="00FA206A"/>
    <w:rsid w:val="00FA2498"/>
    <w:rsid w:val="00FA2ABE"/>
    <w:rsid w:val="00FA399C"/>
    <w:rsid w:val="00FA4213"/>
    <w:rsid w:val="00FA4F8F"/>
    <w:rsid w:val="00FA4F99"/>
    <w:rsid w:val="00FA52E8"/>
    <w:rsid w:val="00FA534D"/>
    <w:rsid w:val="00FA56DC"/>
    <w:rsid w:val="00FA578F"/>
    <w:rsid w:val="00FA6450"/>
    <w:rsid w:val="00FA6AEE"/>
    <w:rsid w:val="00FA6D54"/>
    <w:rsid w:val="00FA71F2"/>
    <w:rsid w:val="00FA76D2"/>
    <w:rsid w:val="00FA7880"/>
    <w:rsid w:val="00FA7FD5"/>
    <w:rsid w:val="00FB07DC"/>
    <w:rsid w:val="00FB086E"/>
    <w:rsid w:val="00FB0CFA"/>
    <w:rsid w:val="00FB0E05"/>
    <w:rsid w:val="00FB104D"/>
    <w:rsid w:val="00FB1FD8"/>
    <w:rsid w:val="00FB22B0"/>
    <w:rsid w:val="00FB23E4"/>
    <w:rsid w:val="00FB273E"/>
    <w:rsid w:val="00FB2AA1"/>
    <w:rsid w:val="00FB30CA"/>
    <w:rsid w:val="00FB318F"/>
    <w:rsid w:val="00FB3695"/>
    <w:rsid w:val="00FB36FB"/>
    <w:rsid w:val="00FB3AC2"/>
    <w:rsid w:val="00FB3BA5"/>
    <w:rsid w:val="00FB43FF"/>
    <w:rsid w:val="00FB4741"/>
    <w:rsid w:val="00FB4948"/>
    <w:rsid w:val="00FB4BF9"/>
    <w:rsid w:val="00FB4C00"/>
    <w:rsid w:val="00FB5129"/>
    <w:rsid w:val="00FB5311"/>
    <w:rsid w:val="00FB54D6"/>
    <w:rsid w:val="00FB57D4"/>
    <w:rsid w:val="00FB61A6"/>
    <w:rsid w:val="00FB61D4"/>
    <w:rsid w:val="00FB65E8"/>
    <w:rsid w:val="00FB6D51"/>
    <w:rsid w:val="00FB7048"/>
    <w:rsid w:val="00FB73D9"/>
    <w:rsid w:val="00FB7576"/>
    <w:rsid w:val="00FB7931"/>
    <w:rsid w:val="00FC0B17"/>
    <w:rsid w:val="00FC10B4"/>
    <w:rsid w:val="00FC14C8"/>
    <w:rsid w:val="00FC18B2"/>
    <w:rsid w:val="00FC1BD3"/>
    <w:rsid w:val="00FC1BFF"/>
    <w:rsid w:val="00FC1F38"/>
    <w:rsid w:val="00FC1F4E"/>
    <w:rsid w:val="00FC28DE"/>
    <w:rsid w:val="00FC28E3"/>
    <w:rsid w:val="00FC2A6B"/>
    <w:rsid w:val="00FC2AA5"/>
    <w:rsid w:val="00FC2E05"/>
    <w:rsid w:val="00FC2FA4"/>
    <w:rsid w:val="00FC36E3"/>
    <w:rsid w:val="00FC3880"/>
    <w:rsid w:val="00FC3B9A"/>
    <w:rsid w:val="00FC4190"/>
    <w:rsid w:val="00FC4C90"/>
    <w:rsid w:val="00FC4D78"/>
    <w:rsid w:val="00FC4FCC"/>
    <w:rsid w:val="00FC532F"/>
    <w:rsid w:val="00FC5614"/>
    <w:rsid w:val="00FC59C3"/>
    <w:rsid w:val="00FC5F89"/>
    <w:rsid w:val="00FC660D"/>
    <w:rsid w:val="00FC6AFA"/>
    <w:rsid w:val="00FC6F6A"/>
    <w:rsid w:val="00FC6FF2"/>
    <w:rsid w:val="00FC711D"/>
    <w:rsid w:val="00FC73FA"/>
    <w:rsid w:val="00FC7415"/>
    <w:rsid w:val="00FC7B80"/>
    <w:rsid w:val="00FD014C"/>
    <w:rsid w:val="00FD051E"/>
    <w:rsid w:val="00FD0B8C"/>
    <w:rsid w:val="00FD1851"/>
    <w:rsid w:val="00FD1892"/>
    <w:rsid w:val="00FD1919"/>
    <w:rsid w:val="00FD1B26"/>
    <w:rsid w:val="00FD1EAD"/>
    <w:rsid w:val="00FD214D"/>
    <w:rsid w:val="00FD2191"/>
    <w:rsid w:val="00FD28A2"/>
    <w:rsid w:val="00FD2B53"/>
    <w:rsid w:val="00FD33E7"/>
    <w:rsid w:val="00FD34EF"/>
    <w:rsid w:val="00FD4D77"/>
    <w:rsid w:val="00FD50B8"/>
    <w:rsid w:val="00FD5772"/>
    <w:rsid w:val="00FD5FA8"/>
    <w:rsid w:val="00FD60B8"/>
    <w:rsid w:val="00FD638E"/>
    <w:rsid w:val="00FD652E"/>
    <w:rsid w:val="00FD65A8"/>
    <w:rsid w:val="00FD6809"/>
    <w:rsid w:val="00FD6849"/>
    <w:rsid w:val="00FD6A24"/>
    <w:rsid w:val="00FD6E8C"/>
    <w:rsid w:val="00FD70C8"/>
    <w:rsid w:val="00FD70EF"/>
    <w:rsid w:val="00FD7578"/>
    <w:rsid w:val="00FD78F8"/>
    <w:rsid w:val="00FD7FEC"/>
    <w:rsid w:val="00FE0017"/>
    <w:rsid w:val="00FE0270"/>
    <w:rsid w:val="00FE03DB"/>
    <w:rsid w:val="00FE04A2"/>
    <w:rsid w:val="00FE05A3"/>
    <w:rsid w:val="00FE06C9"/>
    <w:rsid w:val="00FE07EB"/>
    <w:rsid w:val="00FE097F"/>
    <w:rsid w:val="00FE0C8A"/>
    <w:rsid w:val="00FE13FB"/>
    <w:rsid w:val="00FE1425"/>
    <w:rsid w:val="00FE2645"/>
    <w:rsid w:val="00FE26BB"/>
    <w:rsid w:val="00FE2D71"/>
    <w:rsid w:val="00FE2E00"/>
    <w:rsid w:val="00FE3202"/>
    <w:rsid w:val="00FE3D13"/>
    <w:rsid w:val="00FE4667"/>
    <w:rsid w:val="00FE4D50"/>
    <w:rsid w:val="00FE4FFE"/>
    <w:rsid w:val="00FE5217"/>
    <w:rsid w:val="00FE5360"/>
    <w:rsid w:val="00FE539C"/>
    <w:rsid w:val="00FE59A8"/>
    <w:rsid w:val="00FE5B7B"/>
    <w:rsid w:val="00FE5C25"/>
    <w:rsid w:val="00FE6AF1"/>
    <w:rsid w:val="00FE7FB2"/>
    <w:rsid w:val="00FF0A6D"/>
    <w:rsid w:val="00FF0BDD"/>
    <w:rsid w:val="00FF1421"/>
    <w:rsid w:val="00FF194B"/>
    <w:rsid w:val="00FF1ACE"/>
    <w:rsid w:val="00FF1DAD"/>
    <w:rsid w:val="00FF20DA"/>
    <w:rsid w:val="00FF2295"/>
    <w:rsid w:val="00FF2316"/>
    <w:rsid w:val="00FF28B8"/>
    <w:rsid w:val="00FF28EE"/>
    <w:rsid w:val="00FF3064"/>
    <w:rsid w:val="00FF32C3"/>
    <w:rsid w:val="00FF3A0C"/>
    <w:rsid w:val="00FF3AF5"/>
    <w:rsid w:val="00FF3BFA"/>
    <w:rsid w:val="00FF4142"/>
    <w:rsid w:val="00FF497F"/>
    <w:rsid w:val="00FF4C09"/>
    <w:rsid w:val="00FF4C4B"/>
    <w:rsid w:val="00FF5181"/>
    <w:rsid w:val="00FF5ABE"/>
    <w:rsid w:val="00FF5EE7"/>
    <w:rsid w:val="00FF6A88"/>
    <w:rsid w:val="00FF6C7B"/>
    <w:rsid w:val="00FF6D9A"/>
    <w:rsid w:val="00FF719A"/>
    <w:rsid w:val="00FF729E"/>
    <w:rsid w:val="00FF7A04"/>
    <w:rsid w:val="00FF7C4A"/>
    <w:rsid w:val="00FF7CED"/>
    <w:rsid w:val="00FF7D8E"/>
    <w:rsid w:val="0165AB99"/>
    <w:rsid w:val="01811736"/>
    <w:rsid w:val="018337AD"/>
    <w:rsid w:val="01BFAA99"/>
    <w:rsid w:val="01CF729C"/>
    <w:rsid w:val="01D4B946"/>
    <w:rsid w:val="022A5394"/>
    <w:rsid w:val="022A5B45"/>
    <w:rsid w:val="0258756E"/>
    <w:rsid w:val="027CF985"/>
    <w:rsid w:val="0283A60D"/>
    <w:rsid w:val="0284B698"/>
    <w:rsid w:val="0292EF21"/>
    <w:rsid w:val="02A4C170"/>
    <w:rsid w:val="032CA502"/>
    <w:rsid w:val="0331E114"/>
    <w:rsid w:val="035756B2"/>
    <w:rsid w:val="039EA506"/>
    <w:rsid w:val="03ED5563"/>
    <w:rsid w:val="04ADB8EB"/>
    <w:rsid w:val="04B777F5"/>
    <w:rsid w:val="04DEF164"/>
    <w:rsid w:val="054EE204"/>
    <w:rsid w:val="05898E88"/>
    <w:rsid w:val="059BA4BB"/>
    <w:rsid w:val="05AE0E82"/>
    <w:rsid w:val="05C0D258"/>
    <w:rsid w:val="05E2B8CD"/>
    <w:rsid w:val="061C27A7"/>
    <w:rsid w:val="071AA53F"/>
    <w:rsid w:val="0787E566"/>
    <w:rsid w:val="079BA978"/>
    <w:rsid w:val="080B3571"/>
    <w:rsid w:val="08CE3C3C"/>
    <w:rsid w:val="094C79AD"/>
    <w:rsid w:val="09B7A931"/>
    <w:rsid w:val="09D43625"/>
    <w:rsid w:val="09D8D027"/>
    <w:rsid w:val="0A6ED1FA"/>
    <w:rsid w:val="0A79F7C1"/>
    <w:rsid w:val="0A7D8B9C"/>
    <w:rsid w:val="0A86CB67"/>
    <w:rsid w:val="0AAC9C02"/>
    <w:rsid w:val="0B09A71B"/>
    <w:rsid w:val="0B91B2E6"/>
    <w:rsid w:val="0BC4E21E"/>
    <w:rsid w:val="0BEEADDA"/>
    <w:rsid w:val="0C29D018"/>
    <w:rsid w:val="0C52F9C4"/>
    <w:rsid w:val="0C764EEB"/>
    <w:rsid w:val="0CB6BCAA"/>
    <w:rsid w:val="0CE8762D"/>
    <w:rsid w:val="0D029333"/>
    <w:rsid w:val="0D52075E"/>
    <w:rsid w:val="0D6CF528"/>
    <w:rsid w:val="0D8526E6"/>
    <w:rsid w:val="0DD53EFD"/>
    <w:rsid w:val="0E286879"/>
    <w:rsid w:val="0E29649B"/>
    <w:rsid w:val="0E5B65DE"/>
    <w:rsid w:val="0E668BA5"/>
    <w:rsid w:val="0F3A49C3"/>
    <w:rsid w:val="1010F519"/>
    <w:rsid w:val="10128F2B"/>
    <w:rsid w:val="1028364B"/>
    <w:rsid w:val="10300630"/>
    <w:rsid w:val="104419B9"/>
    <w:rsid w:val="104A3CBA"/>
    <w:rsid w:val="109B8B82"/>
    <w:rsid w:val="10B019DD"/>
    <w:rsid w:val="10C04DFD"/>
    <w:rsid w:val="1103C268"/>
    <w:rsid w:val="11627831"/>
    <w:rsid w:val="11CBF998"/>
    <w:rsid w:val="124339E5"/>
    <w:rsid w:val="124DE8F7"/>
    <w:rsid w:val="12501F99"/>
    <w:rsid w:val="12752F95"/>
    <w:rsid w:val="1384AB07"/>
    <w:rsid w:val="13BD576B"/>
    <w:rsid w:val="13DA4F81"/>
    <w:rsid w:val="140ECA4F"/>
    <w:rsid w:val="143DE1CD"/>
    <w:rsid w:val="1486151A"/>
    <w:rsid w:val="1524D01F"/>
    <w:rsid w:val="153FFC4D"/>
    <w:rsid w:val="155DB736"/>
    <w:rsid w:val="1583582F"/>
    <w:rsid w:val="15E07B5C"/>
    <w:rsid w:val="15EDCB37"/>
    <w:rsid w:val="15F25426"/>
    <w:rsid w:val="160196BF"/>
    <w:rsid w:val="160F7EE4"/>
    <w:rsid w:val="165FEBFE"/>
    <w:rsid w:val="16710612"/>
    <w:rsid w:val="16D7CA24"/>
    <w:rsid w:val="171E5B25"/>
    <w:rsid w:val="1724B016"/>
    <w:rsid w:val="173920B6"/>
    <w:rsid w:val="1747FEA8"/>
    <w:rsid w:val="1782A4B1"/>
    <w:rsid w:val="17A84D20"/>
    <w:rsid w:val="17C71799"/>
    <w:rsid w:val="17CACD66"/>
    <w:rsid w:val="17DFAF7A"/>
    <w:rsid w:val="18BD2A7B"/>
    <w:rsid w:val="1930B283"/>
    <w:rsid w:val="194B99D2"/>
    <w:rsid w:val="195BDF05"/>
    <w:rsid w:val="197319BC"/>
    <w:rsid w:val="19F53BD2"/>
    <w:rsid w:val="1A12EDAD"/>
    <w:rsid w:val="1A38DB98"/>
    <w:rsid w:val="1A52DF51"/>
    <w:rsid w:val="1A681637"/>
    <w:rsid w:val="1A86F578"/>
    <w:rsid w:val="1A9BB46D"/>
    <w:rsid w:val="1AAC31CA"/>
    <w:rsid w:val="1AF87334"/>
    <w:rsid w:val="1AFB13FD"/>
    <w:rsid w:val="1B1606DF"/>
    <w:rsid w:val="1B2741B6"/>
    <w:rsid w:val="1B4E5583"/>
    <w:rsid w:val="1B5530BF"/>
    <w:rsid w:val="1B5A6CD1"/>
    <w:rsid w:val="1BB52455"/>
    <w:rsid w:val="1BD0B0E5"/>
    <w:rsid w:val="1BE7BF46"/>
    <w:rsid w:val="1C652C17"/>
    <w:rsid w:val="1C6D7E44"/>
    <w:rsid w:val="1CFE2342"/>
    <w:rsid w:val="1D4D0670"/>
    <w:rsid w:val="1DA883F8"/>
    <w:rsid w:val="1E3DACCD"/>
    <w:rsid w:val="1E59B779"/>
    <w:rsid w:val="1EBA8321"/>
    <w:rsid w:val="1EEF8F2E"/>
    <w:rsid w:val="1EF5C71D"/>
    <w:rsid w:val="1F1004DC"/>
    <w:rsid w:val="1F1B2015"/>
    <w:rsid w:val="1F426D2E"/>
    <w:rsid w:val="1F804B78"/>
    <w:rsid w:val="1F867296"/>
    <w:rsid w:val="1FAD48FA"/>
    <w:rsid w:val="1FBD11F8"/>
    <w:rsid w:val="200C8BA3"/>
    <w:rsid w:val="2026669D"/>
    <w:rsid w:val="20E2F854"/>
    <w:rsid w:val="2109D2D5"/>
    <w:rsid w:val="21235FD9"/>
    <w:rsid w:val="213F161F"/>
    <w:rsid w:val="2166B899"/>
    <w:rsid w:val="2176C480"/>
    <w:rsid w:val="221DE162"/>
    <w:rsid w:val="22315DF6"/>
    <w:rsid w:val="22952715"/>
    <w:rsid w:val="22A4D9E8"/>
    <w:rsid w:val="22E36C50"/>
    <w:rsid w:val="22F6E444"/>
    <w:rsid w:val="2358CFF0"/>
    <w:rsid w:val="23A83FFE"/>
    <w:rsid w:val="23B1FD89"/>
    <w:rsid w:val="23C7C56C"/>
    <w:rsid w:val="2412211D"/>
    <w:rsid w:val="24634EAB"/>
    <w:rsid w:val="254521AE"/>
    <w:rsid w:val="256ACA1D"/>
    <w:rsid w:val="2599E19B"/>
    <w:rsid w:val="25B00F88"/>
    <w:rsid w:val="25CFDFA3"/>
    <w:rsid w:val="25D49510"/>
    <w:rsid w:val="25D8B16C"/>
    <w:rsid w:val="26C4EA01"/>
    <w:rsid w:val="26DA01A3"/>
    <w:rsid w:val="26F41A8C"/>
    <w:rsid w:val="272A65A3"/>
    <w:rsid w:val="276B4494"/>
    <w:rsid w:val="27716BB2"/>
    <w:rsid w:val="277974E3"/>
    <w:rsid w:val="2792D011"/>
    <w:rsid w:val="27FCBA56"/>
    <w:rsid w:val="2803DD93"/>
    <w:rsid w:val="2859DD83"/>
    <w:rsid w:val="2868186A"/>
    <w:rsid w:val="28C2463F"/>
    <w:rsid w:val="2944E8A7"/>
    <w:rsid w:val="29C71555"/>
    <w:rsid w:val="29CB02AF"/>
    <w:rsid w:val="29FDE7C8"/>
    <w:rsid w:val="2A5FA3BC"/>
    <w:rsid w:val="2AC96D3E"/>
    <w:rsid w:val="2B04C348"/>
    <w:rsid w:val="2B1533D6"/>
    <w:rsid w:val="2B933D37"/>
    <w:rsid w:val="2C460DB8"/>
    <w:rsid w:val="2CF48852"/>
    <w:rsid w:val="2CFE3EA9"/>
    <w:rsid w:val="2D239020"/>
    <w:rsid w:val="2D48C855"/>
    <w:rsid w:val="2DA3C490"/>
    <w:rsid w:val="2DF90B4A"/>
    <w:rsid w:val="2E0A66E4"/>
    <w:rsid w:val="2E584DF3"/>
    <w:rsid w:val="2E66E16A"/>
    <w:rsid w:val="2E94653D"/>
    <w:rsid w:val="2EA257CE"/>
    <w:rsid w:val="2EB8B173"/>
    <w:rsid w:val="2EDAC91D"/>
    <w:rsid w:val="2F4046D8"/>
    <w:rsid w:val="2F593308"/>
    <w:rsid w:val="2F8C9FA9"/>
    <w:rsid w:val="2F95C29A"/>
    <w:rsid w:val="2FFBB108"/>
    <w:rsid w:val="302CDD32"/>
    <w:rsid w:val="3059DAB4"/>
    <w:rsid w:val="309EC701"/>
    <w:rsid w:val="30CB6A7E"/>
    <w:rsid w:val="30CC5072"/>
    <w:rsid w:val="30EBD5E0"/>
    <w:rsid w:val="3191283D"/>
    <w:rsid w:val="320AE1FB"/>
    <w:rsid w:val="324E016F"/>
    <w:rsid w:val="325224BC"/>
    <w:rsid w:val="3277D3A6"/>
    <w:rsid w:val="32A57338"/>
    <w:rsid w:val="32ADB357"/>
    <w:rsid w:val="32EB6646"/>
    <w:rsid w:val="3309EB78"/>
    <w:rsid w:val="335134B4"/>
    <w:rsid w:val="33630B20"/>
    <w:rsid w:val="33821C37"/>
    <w:rsid w:val="33A99189"/>
    <w:rsid w:val="33E2AA76"/>
    <w:rsid w:val="34094652"/>
    <w:rsid w:val="3430C778"/>
    <w:rsid w:val="3459CA77"/>
    <w:rsid w:val="3465B69D"/>
    <w:rsid w:val="35AEDCF0"/>
    <w:rsid w:val="35B3913A"/>
    <w:rsid w:val="35DCAF53"/>
    <w:rsid w:val="3613C46F"/>
    <w:rsid w:val="362168D9"/>
    <w:rsid w:val="364D9C12"/>
    <w:rsid w:val="369BA3E4"/>
    <w:rsid w:val="36FB8CBA"/>
    <w:rsid w:val="376A0764"/>
    <w:rsid w:val="3816F6D5"/>
    <w:rsid w:val="384E0576"/>
    <w:rsid w:val="38699CC6"/>
    <w:rsid w:val="386D3333"/>
    <w:rsid w:val="387A9459"/>
    <w:rsid w:val="38DD2F66"/>
    <w:rsid w:val="38DEB5E3"/>
    <w:rsid w:val="3A01EBEA"/>
    <w:rsid w:val="3AA0AB0C"/>
    <w:rsid w:val="3AAF451A"/>
    <w:rsid w:val="3AB1CA38"/>
    <w:rsid w:val="3AC091FF"/>
    <w:rsid w:val="3ACA395F"/>
    <w:rsid w:val="3AFA6327"/>
    <w:rsid w:val="3B08CEA8"/>
    <w:rsid w:val="3B1FA1D7"/>
    <w:rsid w:val="3B588178"/>
    <w:rsid w:val="3BA0DCFE"/>
    <w:rsid w:val="3C530881"/>
    <w:rsid w:val="3C96982F"/>
    <w:rsid w:val="3CD72E68"/>
    <w:rsid w:val="3DD31B4F"/>
    <w:rsid w:val="3DFFDB68"/>
    <w:rsid w:val="3E06D24F"/>
    <w:rsid w:val="3E30112B"/>
    <w:rsid w:val="3E325CFD"/>
    <w:rsid w:val="3E679681"/>
    <w:rsid w:val="3EC9CE82"/>
    <w:rsid w:val="3ED52A3C"/>
    <w:rsid w:val="3FC100A4"/>
    <w:rsid w:val="3FE59AE6"/>
    <w:rsid w:val="400945FF"/>
    <w:rsid w:val="409369D0"/>
    <w:rsid w:val="409F1C77"/>
    <w:rsid w:val="40A9FE5A"/>
    <w:rsid w:val="40C05CBA"/>
    <w:rsid w:val="40E4AADE"/>
    <w:rsid w:val="414B308C"/>
    <w:rsid w:val="417752B2"/>
    <w:rsid w:val="419F2630"/>
    <w:rsid w:val="41E224E1"/>
    <w:rsid w:val="420A97FF"/>
    <w:rsid w:val="423E8345"/>
    <w:rsid w:val="42AB584A"/>
    <w:rsid w:val="43951462"/>
    <w:rsid w:val="43A9B93C"/>
    <w:rsid w:val="4406B430"/>
    <w:rsid w:val="44322496"/>
    <w:rsid w:val="44465F5D"/>
    <w:rsid w:val="445BDE44"/>
    <w:rsid w:val="4507290B"/>
    <w:rsid w:val="450B7B0C"/>
    <w:rsid w:val="450C81C3"/>
    <w:rsid w:val="45204C50"/>
    <w:rsid w:val="455F8C5B"/>
    <w:rsid w:val="45944492"/>
    <w:rsid w:val="45A47CCF"/>
    <w:rsid w:val="45ABFA1B"/>
    <w:rsid w:val="45B1F900"/>
    <w:rsid w:val="45E77A85"/>
    <w:rsid w:val="464B3A8A"/>
    <w:rsid w:val="4691176D"/>
    <w:rsid w:val="46E25C98"/>
    <w:rsid w:val="47B46CB0"/>
    <w:rsid w:val="47DBB9C9"/>
    <w:rsid w:val="47EB23A0"/>
    <w:rsid w:val="47EE7D9F"/>
    <w:rsid w:val="482A8AE9"/>
    <w:rsid w:val="48906E87"/>
    <w:rsid w:val="48A5A56D"/>
    <w:rsid w:val="48C52A14"/>
    <w:rsid w:val="49113A6F"/>
    <w:rsid w:val="492E2C0A"/>
    <w:rsid w:val="4934E588"/>
    <w:rsid w:val="4948A8A6"/>
    <w:rsid w:val="497066ED"/>
    <w:rsid w:val="49AF03ED"/>
    <w:rsid w:val="49E2E635"/>
    <w:rsid w:val="4A823ED8"/>
    <w:rsid w:val="4A8F7725"/>
    <w:rsid w:val="4AEC34B0"/>
    <w:rsid w:val="4B88A185"/>
    <w:rsid w:val="4BC1B655"/>
    <w:rsid w:val="4C171ECD"/>
    <w:rsid w:val="4C21D877"/>
    <w:rsid w:val="4C307900"/>
    <w:rsid w:val="4C45E6D4"/>
    <w:rsid w:val="4C49E5BA"/>
    <w:rsid w:val="4C606EFC"/>
    <w:rsid w:val="4C864A3C"/>
    <w:rsid w:val="4CD099E3"/>
    <w:rsid w:val="4CE447CA"/>
    <w:rsid w:val="4D192B5C"/>
    <w:rsid w:val="4D5C57C6"/>
    <w:rsid w:val="4D7EC6F9"/>
    <w:rsid w:val="4D9FE774"/>
    <w:rsid w:val="4E28ACDD"/>
    <w:rsid w:val="4E41D43F"/>
    <w:rsid w:val="4E83F499"/>
    <w:rsid w:val="4EB81ECE"/>
    <w:rsid w:val="4F3C4F4D"/>
    <w:rsid w:val="4F4EB629"/>
    <w:rsid w:val="4F5B2D93"/>
    <w:rsid w:val="4F6DD0A6"/>
    <w:rsid w:val="4F769212"/>
    <w:rsid w:val="500BDCA5"/>
    <w:rsid w:val="5049DF51"/>
    <w:rsid w:val="51192526"/>
    <w:rsid w:val="511B12CC"/>
    <w:rsid w:val="512BBCA6"/>
    <w:rsid w:val="5141FB3E"/>
    <w:rsid w:val="51894897"/>
    <w:rsid w:val="51F58207"/>
    <w:rsid w:val="5227B520"/>
    <w:rsid w:val="5292B82A"/>
    <w:rsid w:val="5331CBDB"/>
    <w:rsid w:val="5365E107"/>
    <w:rsid w:val="53661E70"/>
    <w:rsid w:val="53895CE8"/>
    <w:rsid w:val="53C3EA28"/>
    <w:rsid w:val="54134AC6"/>
    <w:rsid w:val="543D33AC"/>
    <w:rsid w:val="545A78DB"/>
    <w:rsid w:val="54989071"/>
    <w:rsid w:val="54C0585C"/>
    <w:rsid w:val="55148B69"/>
    <w:rsid w:val="5600EDB6"/>
    <w:rsid w:val="5608B97E"/>
    <w:rsid w:val="5616D7BF"/>
    <w:rsid w:val="561C5235"/>
    <w:rsid w:val="56597427"/>
    <w:rsid w:val="56929663"/>
    <w:rsid w:val="56B4E3BE"/>
    <w:rsid w:val="56ED7741"/>
    <w:rsid w:val="56EFCDAB"/>
    <w:rsid w:val="56F167BD"/>
    <w:rsid w:val="57468C51"/>
    <w:rsid w:val="574863CC"/>
    <w:rsid w:val="57605D39"/>
    <w:rsid w:val="57727326"/>
    <w:rsid w:val="579BD438"/>
    <w:rsid w:val="57C2CB2D"/>
    <w:rsid w:val="57C6078B"/>
    <w:rsid w:val="57EFC8AF"/>
    <w:rsid w:val="5851A6E7"/>
    <w:rsid w:val="58585A61"/>
    <w:rsid w:val="5894C002"/>
    <w:rsid w:val="58C08914"/>
    <w:rsid w:val="58EF4C03"/>
    <w:rsid w:val="590B1772"/>
    <w:rsid w:val="592EC55A"/>
    <w:rsid w:val="5965C544"/>
    <w:rsid w:val="5999BDCC"/>
    <w:rsid w:val="59A0B9CB"/>
    <w:rsid w:val="59D42CE7"/>
    <w:rsid w:val="5A023CB3"/>
    <w:rsid w:val="5AD80754"/>
    <w:rsid w:val="5B28DC45"/>
    <w:rsid w:val="5B49C279"/>
    <w:rsid w:val="5B8FE340"/>
    <w:rsid w:val="5BBBB2CD"/>
    <w:rsid w:val="5BE68540"/>
    <w:rsid w:val="5C955BDC"/>
    <w:rsid w:val="5CBAB5CC"/>
    <w:rsid w:val="5CDAAD1D"/>
    <w:rsid w:val="5D5DCDC4"/>
    <w:rsid w:val="5D8E16FD"/>
    <w:rsid w:val="5E2EF696"/>
    <w:rsid w:val="5E676D73"/>
    <w:rsid w:val="5EB16728"/>
    <w:rsid w:val="5F03DA48"/>
    <w:rsid w:val="5F352DE8"/>
    <w:rsid w:val="5F664EB7"/>
    <w:rsid w:val="5F7982C7"/>
    <w:rsid w:val="5F9845BF"/>
    <w:rsid w:val="5FCC6526"/>
    <w:rsid w:val="603F7DEF"/>
    <w:rsid w:val="604351C5"/>
    <w:rsid w:val="609B7CC4"/>
    <w:rsid w:val="60CC95DC"/>
    <w:rsid w:val="61594CFD"/>
    <w:rsid w:val="61610BCF"/>
    <w:rsid w:val="61ADF6BF"/>
    <w:rsid w:val="61F7803A"/>
    <w:rsid w:val="61FECBB0"/>
    <w:rsid w:val="620FAC78"/>
    <w:rsid w:val="62730BF3"/>
    <w:rsid w:val="62930E91"/>
    <w:rsid w:val="629D5801"/>
    <w:rsid w:val="62A0D2C3"/>
    <w:rsid w:val="62DD56C2"/>
    <w:rsid w:val="6307BE13"/>
    <w:rsid w:val="63314C66"/>
    <w:rsid w:val="636C3653"/>
    <w:rsid w:val="63B95DB1"/>
    <w:rsid w:val="6435CF5E"/>
    <w:rsid w:val="644C6BDE"/>
    <w:rsid w:val="645E93B4"/>
    <w:rsid w:val="647CE5C9"/>
    <w:rsid w:val="649D4693"/>
    <w:rsid w:val="64A586B2"/>
    <w:rsid w:val="64B6E9C2"/>
    <w:rsid w:val="65102C8B"/>
    <w:rsid w:val="6564EB7D"/>
    <w:rsid w:val="65B8DD04"/>
    <w:rsid w:val="660D6925"/>
    <w:rsid w:val="6618E8FB"/>
    <w:rsid w:val="666BC0C2"/>
    <w:rsid w:val="66930760"/>
    <w:rsid w:val="66A091DE"/>
    <w:rsid w:val="66AE9835"/>
    <w:rsid w:val="66B22EA2"/>
    <w:rsid w:val="6734828E"/>
    <w:rsid w:val="67AEDA3F"/>
    <w:rsid w:val="67C87D6E"/>
    <w:rsid w:val="67FE4E6A"/>
    <w:rsid w:val="682EC962"/>
    <w:rsid w:val="68A58B14"/>
    <w:rsid w:val="68B1A262"/>
    <w:rsid w:val="6915F364"/>
    <w:rsid w:val="691C0EEF"/>
    <w:rsid w:val="692E140F"/>
    <w:rsid w:val="695F390C"/>
    <w:rsid w:val="69A69EDD"/>
    <w:rsid w:val="69ACB3ED"/>
    <w:rsid w:val="69D0B78A"/>
    <w:rsid w:val="69DB30DC"/>
    <w:rsid w:val="69E9C4CC"/>
    <w:rsid w:val="6A858F91"/>
    <w:rsid w:val="6A9C0B18"/>
    <w:rsid w:val="6AA6343F"/>
    <w:rsid w:val="6AD74E93"/>
    <w:rsid w:val="6AD95264"/>
    <w:rsid w:val="6AE9CA68"/>
    <w:rsid w:val="6B4C370A"/>
    <w:rsid w:val="6CB09680"/>
    <w:rsid w:val="6D339C84"/>
    <w:rsid w:val="6D6821EA"/>
    <w:rsid w:val="6E06D674"/>
    <w:rsid w:val="6E3BC17C"/>
    <w:rsid w:val="6E613B37"/>
    <w:rsid w:val="6F40CDFB"/>
    <w:rsid w:val="6FCDE982"/>
    <w:rsid w:val="6FD695BE"/>
    <w:rsid w:val="702859BC"/>
    <w:rsid w:val="70538142"/>
    <w:rsid w:val="70919DF0"/>
    <w:rsid w:val="70D5B46B"/>
    <w:rsid w:val="710F64D0"/>
    <w:rsid w:val="71538063"/>
    <w:rsid w:val="71945A80"/>
    <w:rsid w:val="719A819E"/>
    <w:rsid w:val="71A4EAEA"/>
    <w:rsid w:val="71BAA9D0"/>
    <w:rsid w:val="71C6B62F"/>
    <w:rsid w:val="71F39D29"/>
    <w:rsid w:val="727DFA46"/>
    <w:rsid w:val="72974DFE"/>
    <w:rsid w:val="72AD439A"/>
    <w:rsid w:val="736950D7"/>
    <w:rsid w:val="73C7B5B3"/>
    <w:rsid w:val="73EFA10F"/>
    <w:rsid w:val="73F5E8A0"/>
    <w:rsid w:val="7405484E"/>
    <w:rsid w:val="7414092B"/>
    <w:rsid w:val="74231278"/>
    <w:rsid w:val="749838AF"/>
    <w:rsid w:val="74AA0AFE"/>
    <w:rsid w:val="74B56396"/>
    <w:rsid w:val="74CD2A32"/>
    <w:rsid w:val="74FF79F1"/>
    <w:rsid w:val="752B15B2"/>
    <w:rsid w:val="7535601D"/>
    <w:rsid w:val="75A91F13"/>
    <w:rsid w:val="75CFBF84"/>
    <w:rsid w:val="75F314AB"/>
    <w:rsid w:val="75FB5B45"/>
    <w:rsid w:val="75FF89E4"/>
    <w:rsid w:val="76001B22"/>
    <w:rsid w:val="764A10BA"/>
    <w:rsid w:val="76BA5B69"/>
    <w:rsid w:val="7743BC67"/>
    <w:rsid w:val="7794C429"/>
    <w:rsid w:val="77AD5AA0"/>
    <w:rsid w:val="77C3F0D7"/>
    <w:rsid w:val="7826B3C2"/>
    <w:rsid w:val="785962A8"/>
    <w:rsid w:val="788C2821"/>
    <w:rsid w:val="789C8F12"/>
    <w:rsid w:val="792483B7"/>
    <w:rsid w:val="794BAE19"/>
    <w:rsid w:val="79566ECF"/>
    <w:rsid w:val="7960B2BF"/>
    <w:rsid w:val="798D029E"/>
    <w:rsid w:val="79FAF068"/>
    <w:rsid w:val="7A4F6759"/>
    <w:rsid w:val="7ACDB35B"/>
    <w:rsid w:val="7B2595A6"/>
    <w:rsid w:val="7B65AA92"/>
    <w:rsid w:val="7B6FAE9F"/>
    <w:rsid w:val="7C0FD1FC"/>
    <w:rsid w:val="7C69AC3D"/>
    <w:rsid w:val="7C735F30"/>
    <w:rsid w:val="7CE80A95"/>
    <w:rsid w:val="7D16419F"/>
    <w:rsid w:val="7D28FEFA"/>
    <w:rsid w:val="7D458AF3"/>
    <w:rsid w:val="7DC9BDD0"/>
    <w:rsid w:val="7E31726E"/>
    <w:rsid w:val="7E70423F"/>
    <w:rsid w:val="7ED8388C"/>
    <w:rsid w:val="7EFF2C68"/>
    <w:rsid w:val="7F266EE9"/>
    <w:rsid w:val="7FFDD3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D0BC7"/>
  <w15:chartTrackingRefBased/>
  <w15:docId w15:val="{542E7BB9-8BA2-42FD-B779-17EA785C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32A"/>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6B07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789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12064"/>
    <w:rPr>
      <w:sz w:val="20"/>
      <w:szCs w:val="20"/>
    </w:rPr>
  </w:style>
  <w:style w:type="character" w:customStyle="1" w:styleId="FootnoteTextChar">
    <w:name w:val="Footnote Text Char"/>
    <w:basedOn w:val="DefaultParagraphFont"/>
    <w:link w:val="FootnoteText"/>
    <w:semiHidden/>
    <w:rsid w:val="00D12064"/>
    <w:rPr>
      <w:rFonts w:ascii="Times New Roman" w:eastAsia="MS Mincho" w:hAnsi="Times New Roman" w:cs="Times New Roman"/>
      <w:sz w:val="20"/>
      <w:szCs w:val="20"/>
      <w:lang w:eastAsia="ja-JP"/>
    </w:rPr>
  </w:style>
  <w:style w:type="character" w:styleId="FootnoteReference">
    <w:name w:val="footnote reference"/>
    <w:semiHidden/>
    <w:rsid w:val="00D12064"/>
    <w:rPr>
      <w:vertAlign w:val="superscript"/>
    </w:rPr>
  </w:style>
  <w:style w:type="paragraph" w:styleId="Footer">
    <w:name w:val="footer"/>
    <w:basedOn w:val="Normal"/>
    <w:link w:val="FooterChar"/>
    <w:uiPriority w:val="99"/>
    <w:rsid w:val="00D12064"/>
    <w:pPr>
      <w:tabs>
        <w:tab w:val="center" w:pos="4320"/>
        <w:tab w:val="right" w:pos="8640"/>
      </w:tabs>
    </w:pPr>
  </w:style>
  <w:style w:type="character" w:customStyle="1" w:styleId="FooterChar">
    <w:name w:val="Footer Char"/>
    <w:basedOn w:val="DefaultParagraphFont"/>
    <w:link w:val="Footer"/>
    <w:uiPriority w:val="99"/>
    <w:rsid w:val="00D12064"/>
    <w:rPr>
      <w:rFonts w:ascii="Times New Roman" w:eastAsia="MS Mincho" w:hAnsi="Times New Roman" w:cs="Times New Roman"/>
      <w:sz w:val="24"/>
      <w:szCs w:val="24"/>
      <w:lang w:eastAsia="ja-JP"/>
    </w:rPr>
  </w:style>
  <w:style w:type="character" w:styleId="PageNumber">
    <w:name w:val="page number"/>
    <w:basedOn w:val="DefaultParagraphFont"/>
    <w:rsid w:val="00D12064"/>
  </w:style>
  <w:style w:type="paragraph" w:customStyle="1" w:styleId="Default">
    <w:name w:val="Default"/>
    <w:rsid w:val="00D12064"/>
    <w:pPr>
      <w:autoSpaceDE w:val="0"/>
      <w:autoSpaceDN w:val="0"/>
      <w:adjustRightInd w:val="0"/>
      <w:spacing w:after="0" w:line="240" w:lineRule="auto"/>
    </w:pPr>
    <w:rPr>
      <w:rFonts w:ascii="Times New Roman" w:eastAsia="Times New Roman" w:hAnsi="Times New Roman" w:cs="Times New Roman"/>
      <w:color w:val="000000"/>
      <w:sz w:val="24"/>
      <w:szCs w:val="24"/>
      <w:lang w:val="en-GB" w:bidi="en-US"/>
    </w:rPr>
  </w:style>
  <w:style w:type="paragraph" w:styleId="ListParagraph">
    <w:name w:val="List Paragraph"/>
    <w:aliases w:val="Paragraph,Normal bullet 2,Bullets,List Paragraph1,Heading,List Paragraph (numbered (a)),WB Para,Lapis Bulleted List,Dot pt,F5 List Paragraph,No Spacing1,List Paragraph Char Char Char,Indicator Text,Numbered Para 1,Bullet 1,Bullet List,lp1"/>
    <w:basedOn w:val="Normal"/>
    <w:link w:val="ListParagraphChar"/>
    <w:uiPriority w:val="34"/>
    <w:qFormat/>
    <w:rsid w:val="00D12064"/>
    <w:pPr>
      <w:ind w:left="720"/>
      <w:contextualSpacing/>
    </w:pPr>
    <w:rPr>
      <w:rFonts w:eastAsia="Times New Roman"/>
      <w:lang w:val="x-none" w:eastAsia="x-none"/>
    </w:rPr>
  </w:style>
  <w:style w:type="character" w:customStyle="1" w:styleId="ListParagraphChar">
    <w:name w:val="List Paragraph Char"/>
    <w:aliases w:val="Paragraph Char,Normal bullet 2 Char,Bullets Char,List Paragraph1 Char,Heading Char,List Paragraph (numbered (a)) Char,WB Para Char,Lapis Bulleted List Char,Dot pt Char,F5 List Paragraph Char,No Spacing1 Char,Indicator Text Char"/>
    <w:link w:val="ListParagraph"/>
    <w:uiPriority w:val="34"/>
    <w:qFormat/>
    <w:rsid w:val="00D12064"/>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unhideWhenUsed/>
    <w:rsid w:val="003F7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32"/>
    <w:rPr>
      <w:rFonts w:ascii="Segoe UI" w:eastAsia="MS Mincho" w:hAnsi="Segoe UI" w:cs="Segoe UI"/>
      <w:sz w:val="18"/>
      <w:szCs w:val="18"/>
      <w:lang w:eastAsia="ja-JP"/>
    </w:rPr>
  </w:style>
  <w:style w:type="character" w:styleId="CommentReference">
    <w:name w:val="annotation reference"/>
    <w:basedOn w:val="DefaultParagraphFont"/>
    <w:uiPriority w:val="99"/>
    <w:semiHidden/>
    <w:unhideWhenUsed/>
    <w:rsid w:val="008D183A"/>
    <w:rPr>
      <w:sz w:val="18"/>
      <w:szCs w:val="18"/>
    </w:rPr>
  </w:style>
  <w:style w:type="paragraph" w:styleId="CommentText">
    <w:name w:val="annotation text"/>
    <w:basedOn w:val="Normal"/>
    <w:link w:val="CommentTextChar"/>
    <w:uiPriority w:val="99"/>
    <w:unhideWhenUsed/>
    <w:rsid w:val="008D183A"/>
  </w:style>
  <w:style w:type="character" w:customStyle="1" w:styleId="CommentTextChar">
    <w:name w:val="Comment Text Char"/>
    <w:basedOn w:val="DefaultParagraphFont"/>
    <w:link w:val="CommentText"/>
    <w:uiPriority w:val="99"/>
    <w:rsid w:val="008D183A"/>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8D183A"/>
    <w:rPr>
      <w:b/>
      <w:bCs/>
      <w:sz w:val="20"/>
      <w:szCs w:val="20"/>
    </w:rPr>
  </w:style>
  <w:style w:type="character" w:customStyle="1" w:styleId="CommentSubjectChar">
    <w:name w:val="Comment Subject Char"/>
    <w:basedOn w:val="CommentTextChar"/>
    <w:link w:val="CommentSubject"/>
    <w:uiPriority w:val="99"/>
    <w:semiHidden/>
    <w:rsid w:val="008D183A"/>
    <w:rPr>
      <w:rFonts w:ascii="Times New Roman" w:eastAsia="MS Mincho" w:hAnsi="Times New Roman" w:cs="Times New Roman"/>
      <w:b/>
      <w:bCs/>
      <w:sz w:val="20"/>
      <w:szCs w:val="20"/>
      <w:lang w:eastAsia="ja-JP"/>
    </w:rPr>
  </w:style>
  <w:style w:type="paragraph" w:styleId="Header">
    <w:name w:val="header"/>
    <w:basedOn w:val="Normal"/>
    <w:link w:val="HeaderChar"/>
    <w:uiPriority w:val="99"/>
    <w:unhideWhenUsed/>
    <w:rsid w:val="0028659A"/>
    <w:pPr>
      <w:tabs>
        <w:tab w:val="center" w:pos="4680"/>
        <w:tab w:val="right" w:pos="9360"/>
      </w:tabs>
    </w:pPr>
  </w:style>
  <w:style w:type="character" w:customStyle="1" w:styleId="HeaderChar">
    <w:name w:val="Header Char"/>
    <w:basedOn w:val="DefaultParagraphFont"/>
    <w:link w:val="Header"/>
    <w:uiPriority w:val="99"/>
    <w:rsid w:val="0028659A"/>
    <w:rPr>
      <w:rFonts w:ascii="Times New Roman" w:eastAsia="MS Mincho" w:hAnsi="Times New Roman" w:cs="Times New Roman"/>
      <w:sz w:val="24"/>
      <w:szCs w:val="24"/>
      <w:lang w:eastAsia="ja-JP"/>
    </w:rPr>
  </w:style>
  <w:style w:type="paragraph" w:styleId="BodyText3">
    <w:name w:val="Body Text 3"/>
    <w:basedOn w:val="Normal"/>
    <w:link w:val="BodyText3Char"/>
    <w:rsid w:val="000B1A0B"/>
    <w:pPr>
      <w:jc w:val="center"/>
    </w:pPr>
    <w:rPr>
      <w:rFonts w:eastAsia="Times New Roman"/>
      <w:b/>
      <w:bCs/>
      <w:lang w:val="en-GB" w:eastAsia="en-US"/>
    </w:rPr>
  </w:style>
  <w:style w:type="character" w:customStyle="1" w:styleId="BodyText3Char">
    <w:name w:val="Body Text 3 Char"/>
    <w:basedOn w:val="DefaultParagraphFont"/>
    <w:link w:val="BodyText3"/>
    <w:rsid w:val="000B1A0B"/>
    <w:rPr>
      <w:rFonts w:ascii="Times New Roman" w:eastAsia="Times New Roman" w:hAnsi="Times New Roman" w:cs="Times New Roman"/>
      <w:b/>
      <w:bCs/>
      <w:sz w:val="24"/>
      <w:szCs w:val="24"/>
      <w:lang w:val="en-GB"/>
    </w:rPr>
  </w:style>
  <w:style w:type="table" w:styleId="TableGrid">
    <w:name w:val="Table Grid"/>
    <w:basedOn w:val="TableNormal"/>
    <w:uiPriority w:val="39"/>
    <w:rsid w:val="00F07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7D19"/>
    <w:pPr>
      <w:spacing w:after="0" w:line="240" w:lineRule="auto"/>
    </w:pPr>
    <w:rPr>
      <w:rFonts w:ascii="Times New Roman" w:eastAsia="MS Mincho" w:hAnsi="Times New Roman" w:cs="Times New Roman"/>
      <w:sz w:val="24"/>
      <w:szCs w:val="24"/>
      <w:lang w:eastAsia="ja-JP"/>
    </w:rPr>
  </w:style>
  <w:style w:type="character" w:styleId="Hyperlink">
    <w:name w:val="Hyperlink"/>
    <w:basedOn w:val="DefaultParagraphFont"/>
    <w:uiPriority w:val="99"/>
    <w:unhideWhenUsed/>
    <w:rsid w:val="00360CD7"/>
    <w:rPr>
      <w:color w:val="0563C1"/>
      <w:u w:val="single"/>
    </w:rPr>
  </w:style>
  <w:style w:type="character" w:styleId="UnresolvedMention">
    <w:name w:val="Unresolved Mention"/>
    <w:basedOn w:val="DefaultParagraphFont"/>
    <w:uiPriority w:val="99"/>
    <w:unhideWhenUsed/>
    <w:rsid w:val="00EA40C9"/>
    <w:rPr>
      <w:color w:val="605E5C"/>
      <w:shd w:val="clear" w:color="auto" w:fill="E1DFDD"/>
    </w:rPr>
  </w:style>
  <w:style w:type="character" w:styleId="FollowedHyperlink">
    <w:name w:val="FollowedHyperlink"/>
    <w:basedOn w:val="DefaultParagraphFont"/>
    <w:uiPriority w:val="99"/>
    <w:semiHidden/>
    <w:unhideWhenUsed/>
    <w:rsid w:val="006A28C5"/>
    <w:rPr>
      <w:color w:val="954F72" w:themeColor="followedHyperlink"/>
      <w:u w:val="single"/>
    </w:rPr>
  </w:style>
  <w:style w:type="character" w:customStyle="1" w:styleId="Heading2Char">
    <w:name w:val="Heading 2 Char"/>
    <w:basedOn w:val="DefaultParagraphFont"/>
    <w:link w:val="Heading2"/>
    <w:uiPriority w:val="9"/>
    <w:rsid w:val="001F789D"/>
    <w:rPr>
      <w:rFonts w:asciiTheme="majorHAnsi" w:eastAsiaTheme="majorEastAsia" w:hAnsiTheme="majorHAnsi" w:cstheme="majorBidi"/>
      <w:color w:val="2E74B5" w:themeColor="accent1" w:themeShade="BF"/>
      <w:sz w:val="26"/>
      <w:szCs w:val="26"/>
      <w:lang w:eastAsia="ja-JP"/>
    </w:rPr>
  </w:style>
  <w:style w:type="paragraph" w:styleId="TOC1">
    <w:name w:val="toc 1"/>
    <w:basedOn w:val="Normal"/>
    <w:next w:val="Normal"/>
    <w:autoRedefine/>
    <w:uiPriority w:val="39"/>
    <w:unhideWhenUsed/>
    <w:qFormat/>
    <w:rsid w:val="006B0754"/>
    <w:pPr>
      <w:tabs>
        <w:tab w:val="left" w:pos="480"/>
        <w:tab w:val="right" w:leader="dot" w:pos="9350"/>
      </w:tabs>
      <w:spacing w:after="120"/>
    </w:pPr>
  </w:style>
  <w:style w:type="paragraph" w:styleId="TOC2">
    <w:name w:val="toc 2"/>
    <w:basedOn w:val="Normal"/>
    <w:next w:val="Normal"/>
    <w:autoRedefine/>
    <w:uiPriority w:val="39"/>
    <w:unhideWhenUsed/>
    <w:qFormat/>
    <w:rsid w:val="00CD4D0B"/>
    <w:pPr>
      <w:tabs>
        <w:tab w:val="right" w:leader="dot" w:pos="9350"/>
      </w:tabs>
      <w:spacing w:after="120" w:line="360" w:lineRule="auto"/>
      <w:ind w:left="216"/>
    </w:pPr>
    <w:rPr>
      <w:rFonts w:ascii="Calibri" w:eastAsia="Times New Roman" w:hAnsi="Calibri"/>
      <w:sz w:val="22"/>
      <w:szCs w:val="22"/>
      <w:lang w:eastAsia="en-US"/>
    </w:rPr>
  </w:style>
  <w:style w:type="character" w:customStyle="1" w:styleId="Heading1Char">
    <w:name w:val="Heading 1 Char"/>
    <w:basedOn w:val="DefaultParagraphFont"/>
    <w:link w:val="Heading1"/>
    <w:uiPriority w:val="9"/>
    <w:rsid w:val="006B0754"/>
    <w:rPr>
      <w:rFonts w:asciiTheme="majorHAnsi" w:eastAsiaTheme="majorEastAsia" w:hAnsiTheme="majorHAnsi" w:cstheme="majorBidi"/>
      <w:color w:val="2E74B5" w:themeColor="accent1" w:themeShade="BF"/>
      <w:sz w:val="32"/>
      <w:szCs w:val="32"/>
      <w:lang w:eastAsia="ja-JP"/>
    </w:rPr>
  </w:style>
  <w:style w:type="character" w:customStyle="1" w:styleId="st">
    <w:name w:val="st"/>
    <w:rsid w:val="006B0754"/>
  </w:style>
  <w:style w:type="character" w:styleId="Emphasis">
    <w:name w:val="Emphasis"/>
    <w:basedOn w:val="DefaultParagraphFont"/>
    <w:uiPriority w:val="20"/>
    <w:qFormat/>
    <w:rsid w:val="006B0754"/>
    <w:rPr>
      <w:i/>
      <w:iCs/>
    </w:rPr>
  </w:style>
  <w:style w:type="paragraph" w:styleId="TOC3">
    <w:name w:val="toc 3"/>
    <w:basedOn w:val="Normal"/>
    <w:next w:val="Normal"/>
    <w:autoRedefine/>
    <w:uiPriority w:val="39"/>
    <w:unhideWhenUsed/>
    <w:rsid w:val="00BF39B1"/>
    <w:pPr>
      <w:spacing w:after="100" w:line="259" w:lineRule="auto"/>
      <w:ind w:left="440"/>
    </w:pPr>
    <w:rPr>
      <w:rFonts w:asciiTheme="minorHAnsi" w:eastAsiaTheme="minorEastAsia" w:hAnsiTheme="minorHAnsi" w:cstheme="minorBidi"/>
      <w:sz w:val="22"/>
      <w:szCs w:val="22"/>
      <w:lang w:val="en-GB" w:eastAsia="en-GB"/>
    </w:rPr>
  </w:style>
  <w:style w:type="paragraph" w:styleId="TOC4">
    <w:name w:val="toc 4"/>
    <w:basedOn w:val="Normal"/>
    <w:next w:val="Normal"/>
    <w:autoRedefine/>
    <w:uiPriority w:val="39"/>
    <w:unhideWhenUsed/>
    <w:rsid w:val="00BF39B1"/>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BF39B1"/>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BF39B1"/>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BF39B1"/>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BF39B1"/>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BF39B1"/>
    <w:pPr>
      <w:spacing w:after="100" w:line="259" w:lineRule="auto"/>
      <w:ind w:left="1760"/>
    </w:pPr>
    <w:rPr>
      <w:rFonts w:asciiTheme="minorHAnsi" w:eastAsiaTheme="minorEastAsia" w:hAnsiTheme="minorHAnsi" w:cstheme="minorBidi"/>
      <w:sz w:val="22"/>
      <w:szCs w:val="22"/>
      <w:lang w:val="en-GB" w:eastAsia="en-GB"/>
    </w:rPr>
  </w:style>
  <w:style w:type="paragraph" w:styleId="NormalWeb">
    <w:name w:val="Normal (Web)"/>
    <w:basedOn w:val="Normal"/>
    <w:uiPriority w:val="99"/>
    <w:unhideWhenUsed/>
    <w:rsid w:val="00F40965"/>
    <w:pPr>
      <w:spacing w:before="100" w:beforeAutospacing="1" w:after="100" w:afterAutospacing="1"/>
    </w:pPr>
    <w:rPr>
      <w:rFonts w:ascii="Times" w:eastAsiaTheme="minorEastAsia" w:hAnsi="Times"/>
      <w:b/>
      <w:bCs/>
      <w:sz w:val="20"/>
      <w:szCs w:val="20"/>
      <w:lang w:eastAsia="en-US"/>
    </w:rPr>
  </w:style>
  <w:style w:type="paragraph" w:styleId="BodyText">
    <w:name w:val="Body Text"/>
    <w:basedOn w:val="Normal"/>
    <w:link w:val="BodyTextChar"/>
    <w:uiPriority w:val="99"/>
    <w:rsid w:val="00C041FB"/>
    <w:pPr>
      <w:spacing w:after="120" w:line="340" w:lineRule="exact"/>
      <w:jc w:val="both"/>
    </w:pPr>
    <w:rPr>
      <w:rFonts w:ascii="Verdana" w:hAnsi="Verdana"/>
      <w:lang w:val="x-none" w:eastAsia="x-none"/>
    </w:rPr>
  </w:style>
  <w:style w:type="character" w:customStyle="1" w:styleId="BodyTextChar">
    <w:name w:val="Body Text Char"/>
    <w:basedOn w:val="DefaultParagraphFont"/>
    <w:link w:val="BodyText"/>
    <w:uiPriority w:val="99"/>
    <w:rsid w:val="00C041FB"/>
    <w:rPr>
      <w:rFonts w:ascii="Verdana" w:eastAsia="MS Mincho" w:hAnsi="Verdana" w:cs="Times New Roman"/>
      <w:sz w:val="24"/>
      <w:szCs w:val="24"/>
      <w:lang w:val="x-none" w:eastAsia="x-none"/>
    </w:rPr>
  </w:style>
  <w:style w:type="character" w:styleId="Strong">
    <w:name w:val="Strong"/>
    <w:basedOn w:val="DefaultParagraphFont"/>
    <w:uiPriority w:val="22"/>
    <w:qFormat/>
    <w:rsid w:val="00A31710"/>
    <w:rPr>
      <w:b/>
      <w:bCs/>
    </w:rPr>
  </w:style>
  <w:style w:type="character" w:styleId="Mention">
    <w:name w:val="Mention"/>
    <w:basedOn w:val="DefaultParagraphFont"/>
    <w:uiPriority w:val="99"/>
    <w:unhideWhenUsed/>
    <w:rsid w:val="00E43638"/>
    <w:rPr>
      <w:color w:val="2B579A"/>
      <w:shd w:val="clear" w:color="auto" w:fill="E1DFDD"/>
    </w:rPr>
  </w:style>
  <w:style w:type="paragraph" w:styleId="TOCHeading">
    <w:name w:val="TOC Heading"/>
    <w:basedOn w:val="Heading1"/>
    <w:next w:val="Normal"/>
    <w:uiPriority w:val="39"/>
    <w:unhideWhenUsed/>
    <w:qFormat/>
    <w:rsid w:val="00692DB2"/>
    <w:pPr>
      <w:spacing w:line="259" w:lineRule="auto"/>
      <w:outlineLvl w:val="9"/>
    </w:pPr>
    <w:rPr>
      <w:lang w:eastAsia="en-US"/>
    </w:rPr>
  </w:style>
  <w:style w:type="table" w:customStyle="1" w:styleId="TableGrid1">
    <w:name w:val="Table Grid1"/>
    <w:basedOn w:val="TableNormal"/>
    <w:next w:val="TableGrid"/>
    <w:uiPriority w:val="39"/>
    <w:rsid w:val="001E4C46"/>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C0219"/>
    <w:pPr>
      <w:keepNext/>
      <w:keepLines/>
      <w:spacing w:before="480" w:after="120"/>
      <w:ind w:left="432" w:hanging="432"/>
      <w:jc w:val="center"/>
    </w:pPr>
    <w:rPr>
      <w:rFonts w:ascii="Calibri" w:eastAsia="Calibri" w:hAnsi="Calibri" w:cs="Calibri"/>
      <w:b/>
      <w:color w:val="000000"/>
      <w:sz w:val="32"/>
      <w:szCs w:val="32"/>
      <w:lang w:val="en-CA" w:eastAsia="en-GB"/>
    </w:rPr>
  </w:style>
  <w:style w:type="character" w:customStyle="1" w:styleId="TitleChar">
    <w:name w:val="Title Char"/>
    <w:basedOn w:val="DefaultParagraphFont"/>
    <w:link w:val="Title"/>
    <w:uiPriority w:val="10"/>
    <w:rsid w:val="003C0219"/>
    <w:rPr>
      <w:rFonts w:ascii="Calibri" w:eastAsia="Calibri" w:hAnsi="Calibri" w:cs="Calibri"/>
      <w:b/>
      <w:color w:val="000000"/>
      <w:sz w:val="32"/>
      <w:szCs w:val="32"/>
      <w:lang w:val="en-C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8532">
      <w:bodyDiv w:val="1"/>
      <w:marLeft w:val="0"/>
      <w:marRight w:val="0"/>
      <w:marTop w:val="0"/>
      <w:marBottom w:val="0"/>
      <w:divBdr>
        <w:top w:val="none" w:sz="0" w:space="0" w:color="auto"/>
        <w:left w:val="none" w:sz="0" w:space="0" w:color="auto"/>
        <w:bottom w:val="none" w:sz="0" w:space="0" w:color="auto"/>
        <w:right w:val="none" w:sz="0" w:space="0" w:color="auto"/>
      </w:divBdr>
    </w:div>
    <w:div w:id="95096805">
      <w:bodyDiv w:val="1"/>
      <w:marLeft w:val="0"/>
      <w:marRight w:val="0"/>
      <w:marTop w:val="0"/>
      <w:marBottom w:val="0"/>
      <w:divBdr>
        <w:top w:val="none" w:sz="0" w:space="0" w:color="auto"/>
        <w:left w:val="none" w:sz="0" w:space="0" w:color="auto"/>
        <w:bottom w:val="none" w:sz="0" w:space="0" w:color="auto"/>
        <w:right w:val="none" w:sz="0" w:space="0" w:color="auto"/>
      </w:divBdr>
    </w:div>
    <w:div w:id="150558344">
      <w:bodyDiv w:val="1"/>
      <w:marLeft w:val="0"/>
      <w:marRight w:val="0"/>
      <w:marTop w:val="0"/>
      <w:marBottom w:val="0"/>
      <w:divBdr>
        <w:top w:val="none" w:sz="0" w:space="0" w:color="auto"/>
        <w:left w:val="none" w:sz="0" w:space="0" w:color="auto"/>
        <w:bottom w:val="none" w:sz="0" w:space="0" w:color="auto"/>
        <w:right w:val="none" w:sz="0" w:space="0" w:color="auto"/>
      </w:divBdr>
    </w:div>
    <w:div w:id="234560191">
      <w:bodyDiv w:val="1"/>
      <w:marLeft w:val="0"/>
      <w:marRight w:val="0"/>
      <w:marTop w:val="0"/>
      <w:marBottom w:val="0"/>
      <w:divBdr>
        <w:top w:val="none" w:sz="0" w:space="0" w:color="auto"/>
        <w:left w:val="none" w:sz="0" w:space="0" w:color="auto"/>
        <w:bottom w:val="none" w:sz="0" w:space="0" w:color="auto"/>
        <w:right w:val="none" w:sz="0" w:space="0" w:color="auto"/>
      </w:divBdr>
    </w:div>
    <w:div w:id="274554871">
      <w:bodyDiv w:val="1"/>
      <w:marLeft w:val="0"/>
      <w:marRight w:val="0"/>
      <w:marTop w:val="0"/>
      <w:marBottom w:val="0"/>
      <w:divBdr>
        <w:top w:val="none" w:sz="0" w:space="0" w:color="auto"/>
        <w:left w:val="none" w:sz="0" w:space="0" w:color="auto"/>
        <w:bottom w:val="none" w:sz="0" w:space="0" w:color="auto"/>
        <w:right w:val="none" w:sz="0" w:space="0" w:color="auto"/>
      </w:divBdr>
    </w:div>
    <w:div w:id="349071561">
      <w:bodyDiv w:val="1"/>
      <w:marLeft w:val="0"/>
      <w:marRight w:val="0"/>
      <w:marTop w:val="0"/>
      <w:marBottom w:val="0"/>
      <w:divBdr>
        <w:top w:val="none" w:sz="0" w:space="0" w:color="auto"/>
        <w:left w:val="none" w:sz="0" w:space="0" w:color="auto"/>
        <w:bottom w:val="none" w:sz="0" w:space="0" w:color="auto"/>
        <w:right w:val="none" w:sz="0" w:space="0" w:color="auto"/>
      </w:divBdr>
      <w:divsChild>
        <w:div w:id="658996630">
          <w:marLeft w:val="360"/>
          <w:marRight w:val="0"/>
          <w:marTop w:val="200"/>
          <w:marBottom w:val="0"/>
          <w:divBdr>
            <w:top w:val="none" w:sz="0" w:space="0" w:color="auto"/>
            <w:left w:val="none" w:sz="0" w:space="0" w:color="auto"/>
            <w:bottom w:val="none" w:sz="0" w:space="0" w:color="auto"/>
            <w:right w:val="none" w:sz="0" w:space="0" w:color="auto"/>
          </w:divBdr>
        </w:div>
      </w:divsChild>
    </w:div>
    <w:div w:id="356543285">
      <w:bodyDiv w:val="1"/>
      <w:marLeft w:val="0"/>
      <w:marRight w:val="0"/>
      <w:marTop w:val="0"/>
      <w:marBottom w:val="0"/>
      <w:divBdr>
        <w:top w:val="none" w:sz="0" w:space="0" w:color="auto"/>
        <w:left w:val="none" w:sz="0" w:space="0" w:color="auto"/>
        <w:bottom w:val="none" w:sz="0" w:space="0" w:color="auto"/>
        <w:right w:val="none" w:sz="0" w:space="0" w:color="auto"/>
      </w:divBdr>
    </w:div>
    <w:div w:id="381252516">
      <w:bodyDiv w:val="1"/>
      <w:marLeft w:val="0"/>
      <w:marRight w:val="0"/>
      <w:marTop w:val="0"/>
      <w:marBottom w:val="0"/>
      <w:divBdr>
        <w:top w:val="none" w:sz="0" w:space="0" w:color="auto"/>
        <w:left w:val="none" w:sz="0" w:space="0" w:color="auto"/>
        <w:bottom w:val="none" w:sz="0" w:space="0" w:color="auto"/>
        <w:right w:val="none" w:sz="0" w:space="0" w:color="auto"/>
      </w:divBdr>
    </w:div>
    <w:div w:id="428814833">
      <w:bodyDiv w:val="1"/>
      <w:marLeft w:val="0"/>
      <w:marRight w:val="0"/>
      <w:marTop w:val="0"/>
      <w:marBottom w:val="0"/>
      <w:divBdr>
        <w:top w:val="none" w:sz="0" w:space="0" w:color="auto"/>
        <w:left w:val="none" w:sz="0" w:space="0" w:color="auto"/>
        <w:bottom w:val="none" w:sz="0" w:space="0" w:color="auto"/>
        <w:right w:val="none" w:sz="0" w:space="0" w:color="auto"/>
      </w:divBdr>
    </w:div>
    <w:div w:id="445854617">
      <w:bodyDiv w:val="1"/>
      <w:marLeft w:val="0"/>
      <w:marRight w:val="0"/>
      <w:marTop w:val="0"/>
      <w:marBottom w:val="0"/>
      <w:divBdr>
        <w:top w:val="none" w:sz="0" w:space="0" w:color="auto"/>
        <w:left w:val="none" w:sz="0" w:space="0" w:color="auto"/>
        <w:bottom w:val="none" w:sz="0" w:space="0" w:color="auto"/>
        <w:right w:val="none" w:sz="0" w:space="0" w:color="auto"/>
      </w:divBdr>
    </w:div>
    <w:div w:id="486824887">
      <w:bodyDiv w:val="1"/>
      <w:marLeft w:val="0"/>
      <w:marRight w:val="0"/>
      <w:marTop w:val="0"/>
      <w:marBottom w:val="0"/>
      <w:divBdr>
        <w:top w:val="none" w:sz="0" w:space="0" w:color="auto"/>
        <w:left w:val="none" w:sz="0" w:space="0" w:color="auto"/>
        <w:bottom w:val="none" w:sz="0" w:space="0" w:color="auto"/>
        <w:right w:val="none" w:sz="0" w:space="0" w:color="auto"/>
      </w:divBdr>
    </w:div>
    <w:div w:id="636760656">
      <w:bodyDiv w:val="1"/>
      <w:marLeft w:val="0"/>
      <w:marRight w:val="0"/>
      <w:marTop w:val="0"/>
      <w:marBottom w:val="0"/>
      <w:divBdr>
        <w:top w:val="none" w:sz="0" w:space="0" w:color="auto"/>
        <w:left w:val="none" w:sz="0" w:space="0" w:color="auto"/>
        <w:bottom w:val="none" w:sz="0" w:space="0" w:color="auto"/>
        <w:right w:val="none" w:sz="0" w:space="0" w:color="auto"/>
      </w:divBdr>
    </w:div>
    <w:div w:id="705758237">
      <w:bodyDiv w:val="1"/>
      <w:marLeft w:val="0"/>
      <w:marRight w:val="0"/>
      <w:marTop w:val="0"/>
      <w:marBottom w:val="0"/>
      <w:divBdr>
        <w:top w:val="none" w:sz="0" w:space="0" w:color="auto"/>
        <w:left w:val="none" w:sz="0" w:space="0" w:color="auto"/>
        <w:bottom w:val="none" w:sz="0" w:space="0" w:color="auto"/>
        <w:right w:val="none" w:sz="0" w:space="0" w:color="auto"/>
      </w:divBdr>
    </w:div>
    <w:div w:id="736978809">
      <w:bodyDiv w:val="1"/>
      <w:marLeft w:val="0"/>
      <w:marRight w:val="0"/>
      <w:marTop w:val="0"/>
      <w:marBottom w:val="0"/>
      <w:divBdr>
        <w:top w:val="none" w:sz="0" w:space="0" w:color="auto"/>
        <w:left w:val="none" w:sz="0" w:space="0" w:color="auto"/>
        <w:bottom w:val="none" w:sz="0" w:space="0" w:color="auto"/>
        <w:right w:val="none" w:sz="0" w:space="0" w:color="auto"/>
      </w:divBdr>
    </w:div>
    <w:div w:id="752892378">
      <w:bodyDiv w:val="1"/>
      <w:marLeft w:val="0"/>
      <w:marRight w:val="0"/>
      <w:marTop w:val="0"/>
      <w:marBottom w:val="0"/>
      <w:divBdr>
        <w:top w:val="none" w:sz="0" w:space="0" w:color="auto"/>
        <w:left w:val="none" w:sz="0" w:space="0" w:color="auto"/>
        <w:bottom w:val="none" w:sz="0" w:space="0" w:color="auto"/>
        <w:right w:val="none" w:sz="0" w:space="0" w:color="auto"/>
      </w:divBdr>
    </w:div>
    <w:div w:id="756100551">
      <w:bodyDiv w:val="1"/>
      <w:marLeft w:val="0"/>
      <w:marRight w:val="0"/>
      <w:marTop w:val="0"/>
      <w:marBottom w:val="0"/>
      <w:divBdr>
        <w:top w:val="none" w:sz="0" w:space="0" w:color="auto"/>
        <w:left w:val="none" w:sz="0" w:space="0" w:color="auto"/>
        <w:bottom w:val="none" w:sz="0" w:space="0" w:color="auto"/>
        <w:right w:val="none" w:sz="0" w:space="0" w:color="auto"/>
      </w:divBdr>
    </w:div>
    <w:div w:id="824784660">
      <w:bodyDiv w:val="1"/>
      <w:marLeft w:val="0"/>
      <w:marRight w:val="0"/>
      <w:marTop w:val="0"/>
      <w:marBottom w:val="0"/>
      <w:divBdr>
        <w:top w:val="none" w:sz="0" w:space="0" w:color="auto"/>
        <w:left w:val="none" w:sz="0" w:space="0" w:color="auto"/>
        <w:bottom w:val="none" w:sz="0" w:space="0" w:color="auto"/>
        <w:right w:val="none" w:sz="0" w:space="0" w:color="auto"/>
      </w:divBdr>
      <w:divsChild>
        <w:div w:id="1634170486">
          <w:marLeft w:val="0"/>
          <w:marRight w:val="0"/>
          <w:marTop w:val="0"/>
          <w:marBottom w:val="0"/>
          <w:divBdr>
            <w:top w:val="none" w:sz="0" w:space="0" w:color="auto"/>
            <w:left w:val="none" w:sz="0" w:space="0" w:color="auto"/>
            <w:bottom w:val="none" w:sz="0" w:space="0" w:color="auto"/>
            <w:right w:val="none" w:sz="0" w:space="0" w:color="auto"/>
          </w:divBdr>
          <w:divsChild>
            <w:div w:id="2090420058">
              <w:marLeft w:val="0"/>
              <w:marRight w:val="0"/>
              <w:marTop w:val="0"/>
              <w:marBottom w:val="0"/>
              <w:divBdr>
                <w:top w:val="none" w:sz="0" w:space="0" w:color="auto"/>
                <w:left w:val="none" w:sz="0" w:space="0" w:color="auto"/>
                <w:bottom w:val="none" w:sz="0" w:space="0" w:color="auto"/>
                <w:right w:val="none" w:sz="0" w:space="0" w:color="auto"/>
              </w:divBdr>
              <w:divsChild>
                <w:div w:id="2942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11854">
      <w:bodyDiv w:val="1"/>
      <w:marLeft w:val="0"/>
      <w:marRight w:val="0"/>
      <w:marTop w:val="0"/>
      <w:marBottom w:val="0"/>
      <w:divBdr>
        <w:top w:val="none" w:sz="0" w:space="0" w:color="auto"/>
        <w:left w:val="none" w:sz="0" w:space="0" w:color="auto"/>
        <w:bottom w:val="none" w:sz="0" w:space="0" w:color="auto"/>
        <w:right w:val="none" w:sz="0" w:space="0" w:color="auto"/>
      </w:divBdr>
    </w:div>
    <w:div w:id="893079750">
      <w:bodyDiv w:val="1"/>
      <w:marLeft w:val="0"/>
      <w:marRight w:val="0"/>
      <w:marTop w:val="0"/>
      <w:marBottom w:val="0"/>
      <w:divBdr>
        <w:top w:val="none" w:sz="0" w:space="0" w:color="auto"/>
        <w:left w:val="none" w:sz="0" w:space="0" w:color="auto"/>
        <w:bottom w:val="none" w:sz="0" w:space="0" w:color="auto"/>
        <w:right w:val="none" w:sz="0" w:space="0" w:color="auto"/>
      </w:divBdr>
    </w:div>
    <w:div w:id="1019819557">
      <w:bodyDiv w:val="1"/>
      <w:marLeft w:val="0"/>
      <w:marRight w:val="0"/>
      <w:marTop w:val="0"/>
      <w:marBottom w:val="0"/>
      <w:divBdr>
        <w:top w:val="none" w:sz="0" w:space="0" w:color="auto"/>
        <w:left w:val="none" w:sz="0" w:space="0" w:color="auto"/>
        <w:bottom w:val="none" w:sz="0" w:space="0" w:color="auto"/>
        <w:right w:val="none" w:sz="0" w:space="0" w:color="auto"/>
      </w:divBdr>
    </w:div>
    <w:div w:id="1102916086">
      <w:bodyDiv w:val="1"/>
      <w:marLeft w:val="0"/>
      <w:marRight w:val="0"/>
      <w:marTop w:val="0"/>
      <w:marBottom w:val="0"/>
      <w:divBdr>
        <w:top w:val="none" w:sz="0" w:space="0" w:color="auto"/>
        <w:left w:val="none" w:sz="0" w:space="0" w:color="auto"/>
        <w:bottom w:val="none" w:sz="0" w:space="0" w:color="auto"/>
        <w:right w:val="none" w:sz="0" w:space="0" w:color="auto"/>
      </w:divBdr>
    </w:div>
    <w:div w:id="1191068799">
      <w:bodyDiv w:val="1"/>
      <w:marLeft w:val="0"/>
      <w:marRight w:val="0"/>
      <w:marTop w:val="0"/>
      <w:marBottom w:val="0"/>
      <w:divBdr>
        <w:top w:val="none" w:sz="0" w:space="0" w:color="auto"/>
        <w:left w:val="none" w:sz="0" w:space="0" w:color="auto"/>
        <w:bottom w:val="none" w:sz="0" w:space="0" w:color="auto"/>
        <w:right w:val="none" w:sz="0" w:space="0" w:color="auto"/>
      </w:divBdr>
    </w:div>
    <w:div w:id="1205219790">
      <w:bodyDiv w:val="1"/>
      <w:marLeft w:val="0"/>
      <w:marRight w:val="0"/>
      <w:marTop w:val="0"/>
      <w:marBottom w:val="0"/>
      <w:divBdr>
        <w:top w:val="none" w:sz="0" w:space="0" w:color="auto"/>
        <w:left w:val="none" w:sz="0" w:space="0" w:color="auto"/>
        <w:bottom w:val="none" w:sz="0" w:space="0" w:color="auto"/>
        <w:right w:val="none" w:sz="0" w:space="0" w:color="auto"/>
      </w:divBdr>
    </w:div>
    <w:div w:id="1292132230">
      <w:bodyDiv w:val="1"/>
      <w:marLeft w:val="0"/>
      <w:marRight w:val="0"/>
      <w:marTop w:val="0"/>
      <w:marBottom w:val="0"/>
      <w:divBdr>
        <w:top w:val="none" w:sz="0" w:space="0" w:color="auto"/>
        <w:left w:val="none" w:sz="0" w:space="0" w:color="auto"/>
        <w:bottom w:val="none" w:sz="0" w:space="0" w:color="auto"/>
        <w:right w:val="none" w:sz="0" w:space="0" w:color="auto"/>
      </w:divBdr>
    </w:div>
    <w:div w:id="1295404611">
      <w:bodyDiv w:val="1"/>
      <w:marLeft w:val="0"/>
      <w:marRight w:val="0"/>
      <w:marTop w:val="0"/>
      <w:marBottom w:val="0"/>
      <w:divBdr>
        <w:top w:val="none" w:sz="0" w:space="0" w:color="auto"/>
        <w:left w:val="none" w:sz="0" w:space="0" w:color="auto"/>
        <w:bottom w:val="none" w:sz="0" w:space="0" w:color="auto"/>
        <w:right w:val="none" w:sz="0" w:space="0" w:color="auto"/>
      </w:divBdr>
      <w:divsChild>
        <w:div w:id="1361320333">
          <w:marLeft w:val="360"/>
          <w:marRight w:val="0"/>
          <w:marTop w:val="200"/>
          <w:marBottom w:val="0"/>
          <w:divBdr>
            <w:top w:val="none" w:sz="0" w:space="0" w:color="auto"/>
            <w:left w:val="none" w:sz="0" w:space="0" w:color="auto"/>
            <w:bottom w:val="none" w:sz="0" w:space="0" w:color="auto"/>
            <w:right w:val="none" w:sz="0" w:space="0" w:color="auto"/>
          </w:divBdr>
        </w:div>
      </w:divsChild>
    </w:div>
    <w:div w:id="1303342554">
      <w:bodyDiv w:val="1"/>
      <w:marLeft w:val="0"/>
      <w:marRight w:val="0"/>
      <w:marTop w:val="0"/>
      <w:marBottom w:val="0"/>
      <w:divBdr>
        <w:top w:val="none" w:sz="0" w:space="0" w:color="auto"/>
        <w:left w:val="none" w:sz="0" w:space="0" w:color="auto"/>
        <w:bottom w:val="none" w:sz="0" w:space="0" w:color="auto"/>
        <w:right w:val="none" w:sz="0" w:space="0" w:color="auto"/>
      </w:divBdr>
    </w:div>
    <w:div w:id="1343169152">
      <w:bodyDiv w:val="1"/>
      <w:marLeft w:val="0"/>
      <w:marRight w:val="0"/>
      <w:marTop w:val="0"/>
      <w:marBottom w:val="0"/>
      <w:divBdr>
        <w:top w:val="none" w:sz="0" w:space="0" w:color="auto"/>
        <w:left w:val="none" w:sz="0" w:space="0" w:color="auto"/>
        <w:bottom w:val="none" w:sz="0" w:space="0" w:color="auto"/>
        <w:right w:val="none" w:sz="0" w:space="0" w:color="auto"/>
      </w:divBdr>
      <w:divsChild>
        <w:div w:id="546724727">
          <w:marLeft w:val="634"/>
          <w:marRight w:val="0"/>
          <w:marTop w:val="200"/>
          <w:marBottom w:val="120"/>
          <w:divBdr>
            <w:top w:val="none" w:sz="0" w:space="0" w:color="auto"/>
            <w:left w:val="none" w:sz="0" w:space="0" w:color="auto"/>
            <w:bottom w:val="none" w:sz="0" w:space="0" w:color="auto"/>
            <w:right w:val="none" w:sz="0" w:space="0" w:color="auto"/>
          </w:divBdr>
        </w:div>
        <w:div w:id="619453484">
          <w:marLeft w:val="634"/>
          <w:marRight w:val="0"/>
          <w:marTop w:val="200"/>
          <w:marBottom w:val="120"/>
          <w:divBdr>
            <w:top w:val="none" w:sz="0" w:space="0" w:color="auto"/>
            <w:left w:val="none" w:sz="0" w:space="0" w:color="auto"/>
            <w:bottom w:val="none" w:sz="0" w:space="0" w:color="auto"/>
            <w:right w:val="none" w:sz="0" w:space="0" w:color="auto"/>
          </w:divBdr>
        </w:div>
        <w:div w:id="713388590">
          <w:marLeft w:val="634"/>
          <w:marRight w:val="0"/>
          <w:marTop w:val="200"/>
          <w:marBottom w:val="120"/>
          <w:divBdr>
            <w:top w:val="none" w:sz="0" w:space="0" w:color="auto"/>
            <w:left w:val="none" w:sz="0" w:space="0" w:color="auto"/>
            <w:bottom w:val="none" w:sz="0" w:space="0" w:color="auto"/>
            <w:right w:val="none" w:sz="0" w:space="0" w:color="auto"/>
          </w:divBdr>
        </w:div>
        <w:div w:id="717703011">
          <w:marLeft w:val="634"/>
          <w:marRight w:val="0"/>
          <w:marTop w:val="200"/>
          <w:marBottom w:val="120"/>
          <w:divBdr>
            <w:top w:val="none" w:sz="0" w:space="0" w:color="auto"/>
            <w:left w:val="none" w:sz="0" w:space="0" w:color="auto"/>
            <w:bottom w:val="none" w:sz="0" w:space="0" w:color="auto"/>
            <w:right w:val="none" w:sz="0" w:space="0" w:color="auto"/>
          </w:divBdr>
        </w:div>
        <w:div w:id="778835049">
          <w:marLeft w:val="634"/>
          <w:marRight w:val="0"/>
          <w:marTop w:val="200"/>
          <w:marBottom w:val="120"/>
          <w:divBdr>
            <w:top w:val="none" w:sz="0" w:space="0" w:color="auto"/>
            <w:left w:val="none" w:sz="0" w:space="0" w:color="auto"/>
            <w:bottom w:val="none" w:sz="0" w:space="0" w:color="auto"/>
            <w:right w:val="none" w:sz="0" w:space="0" w:color="auto"/>
          </w:divBdr>
        </w:div>
        <w:div w:id="1191063437">
          <w:marLeft w:val="634"/>
          <w:marRight w:val="0"/>
          <w:marTop w:val="200"/>
          <w:marBottom w:val="120"/>
          <w:divBdr>
            <w:top w:val="none" w:sz="0" w:space="0" w:color="auto"/>
            <w:left w:val="none" w:sz="0" w:space="0" w:color="auto"/>
            <w:bottom w:val="none" w:sz="0" w:space="0" w:color="auto"/>
            <w:right w:val="none" w:sz="0" w:space="0" w:color="auto"/>
          </w:divBdr>
        </w:div>
        <w:div w:id="1387216320">
          <w:marLeft w:val="634"/>
          <w:marRight w:val="0"/>
          <w:marTop w:val="200"/>
          <w:marBottom w:val="120"/>
          <w:divBdr>
            <w:top w:val="none" w:sz="0" w:space="0" w:color="auto"/>
            <w:left w:val="none" w:sz="0" w:space="0" w:color="auto"/>
            <w:bottom w:val="none" w:sz="0" w:space="0" w:color="auto"/>
            <w:right w:val="none" w:sz="0" w:space="0" w:color="auto"/>
          </w:divBdr>
        </w:div>
        <w:div w:id="1658462429">
          <w:marLeft w:val="634"/>
          <w:marRight w:val="0"/>
          <w:marTop w:val="200"/>
          <w:marBottom w:val="120"/>
          <w:divBdr>
            <w:top w:val="none" w:sz="0" w:space="0" w:color="auto"/>
            <w:left w:val="none" w:sz="0" w:space="0" w:color="auto"/>
            <w:bottom w:val="none" w:sz="0" w:space="0" w:color="auto"/>
            <w:right w:val="none" w:sz="0" w:space="0" w:color="auto"/>
          </w:divBdr>
        </w:div>
        <w:div w:id="1675499513">
          <w:marLeft w:val="634"/>
          <w:marRight w:val="0"/>
          <w:marTop w:val="200"/>
          <w:marBottom w:val="120"/>
          <w:divBdr>
            <w:top w:val="none" w:sz="0" w:space="0" w:color="auto"/>
            <w:left w:val="none" w:sz="0" w:space="0" w:color="auto"/>
            <w:bottom w:val="none" w:sz="0" w:space="0" w:color="auto"/>
            <w:right w:val="none" w:sz="0" w:space="0" w:color="auto"/>
          </w:divBdr>
        </w:div>
        <w:div w:id="1675838036">
          <w:marLeft w:val="634"/>
          <w:marRight w:val="0"/>
          <w:marTop w:val="200"/>
          <w:marBottom w:val="120"/>
          <w:divBdr>
            <w:top w:val="none" w:sz="0" w:space="0" w:color="auto"/>
            <w:left w:val="none" w:sz="0" w:space="0" w:color="auto"/>
            <w:bottom w:val="none" w:sz="0" w:space="0" w:color="auto"/>
            <w:right w:val="none" w:sz="0" w:space="0" w:color="auto"/>
          </w:divBdr>
        </w:div>
        <w:div w:id="1948728749">
          <w:marLeft w:val="634"/>
          <w:marRight w:val="0"/>
          <w:marTop w:val="200"/>
          <w:marBottom w:val="120"/>
          <w:divBdr>
            <w:top w:val="none" w:sz="0" w:space="0" w:color="auto"/>
            <w:left w:val="none" w:sz="0" w:space="0" w:color="auto"/>
            <w:bottom w:val="none" w:sz="0" w:space="0" w:color="auto"/>
            <w:right w:val="none" w:sz="0" w:space="0" w:color="auto"/>
          </w:divBdr>
        </w:div>
      </w:divsChild>
    </w:div>
    <w:div w:id="1376007901">
      <w:bodyDiv w:val="1"/>
      <w:marLeft w:val="0"/>
      <w:marRight w:val="0"/>
      <w:marTop w:val="0"/>
      <w:marBottom w:val="0"/>
      <w:divBdr>
        <w:top w:val="none" w:sz="0" w:space="0" w:color="auto"/>
        <w:left w:val="none" w:sz="0" w:space="0" w:color="auto"/>
        <w:bottom w:val="none" w:sz="0" w:space="0" w:color="auto"/>
        <w:right w:val="none" w:sz="0" w:space="0" w:color="auto"/>
      </w:divBdr>
    </w:div>
    <w:div w:id="1459493052">
      <w:bodyDiv w:val="1"/>
      <w:marLeft w:val="0"/>
      <w:marRight w:val="0"/>
      <w:marTop w:val="0"/>
      <w:marBottom w:val="0"/>
      <w:divBdr>
        <w:top w:val="none" w:sz="0" w:space="0" w:color="auto"/>
        <w:left w:val="none" w:sz="0" w:space="0" w:color="auto"/>
        <w:bottom w:val="none" w:sz="0" w:space="0" w:color="auto"/>
        <w:right w:val="none" w:sz="0" w:space="0" w:color="auto"/>
      </w:divBdr>
    </w:div>
    <w:div w:id="1562984407">
      <w:bodyDiv w:val="1"/>
      <w:marLeft w:val="0"/>
      <w:marRight w:val="0"/>
      <w:marTop w:val="0"/>
      <w:marBottom w:val="0"/>
      <w:divBdr>
        <w:top w:val="none" w:sz="0" w:space="0" w:color="auto"/>
        <w:left w:val="none" w:sz="0" w:space="0" w:color="auto"/>
        <w:bottom w:val="none" w:sz="0" w:space="0" w:color="auto"/>
        <w:right w:val="none" w:sz="0" w:space="0" w:color="auto"/>
      </w:divBdr>
    </w:div>
    <w:div w:id="1574465283">
      <w:bodyDiv w:val="1"/>
      <w:marLeft w:val="0"/>
      <w:marRight w:val="0"/>
      <w:marTop w:val="0"/>
      <w:marBottom w:val="0"/>
      <w:divBdr>
        <w:top w:val="none" w:sz="0" w:space="0" w:color="auto"/>
        <w:left w:val="none" w:sz="0" w:space="0" w:color="auto"/>
        <w:bottom w:val="none" w:sz="0" w:space="0" w:color="auto"/>
        <w:right w:val="none" w:sz="0" w:space="0" w:color="auto"/>
      </w:divBdr>
    </w:div>
    <w:div w:id="1576280845">
      <w:bodyDiv w:val="1"/>
      <w:marLeft w:val="0"/>
      <w:marRight w:val="0"/>
      <w:marTop w:val="0"/>
      <w:marBottom w:val="0"/>
      <w:divBdr>
        <w:top w:val="none" w:sz="0" w:space="0" w:color="auto"/>
        <w:left w:val="none" w:sz="0" w:space="0" w:color="auto"/>
        <w:bottom w:val="none" w:sz="0" w:space="0" w:color="auto"/>
        <w:right w:val="none" w:sz="0" w:space="0" w:color="auto"/>
      </w:divBdr>
    </w:div>
    <w:div w:id="1584101324">
      <w:bodyDiv w:val="1"/>
      <w:marLeft w:val="0"/>
      <w:marRight w:val="0"/>
      <w:marTop w:val="0"/>
      <w:marBottom w:val="0"/>
      <w:divBdr>
        <w:top w:val="none" w:sz="0" w:space="0" w:color="auto"/>
        <w:left w:val="none" w:sz="0" w:space="0" w:color="auto"/>
        <w:bottom w:val="none" w:sz="0" w:space="0" w:color="auto"/>
        <w:right w:val="none" w:sz="0" w:space="0" w:color="auto"/>
      </w:divBdr>
      <w:divsChild>
        <w:div w:id="318114995">
          <w:marLeft w:val="360"/>
          <w:marRight w:val="0"/>
          <w:marTop w:val="240"/>
          <w:marBottom w:val="120"/>
          <w:divBdr>
            <w:top w:val="none" w:sz="0" w:space="0" w:color="auto"/>
            <w:left w:val="none" w:sz="0" w:space="0" w:color="auto"/>
            <w:bottom w:val="none" w:sz="0" w:space="0" w:color="auto"/>
            <w:right w:val="none" w:sz="0" w:space="0" w:color="auto"/>
          </w:divBdr>
        </w:div>
        <w:div w:id="391319679">
          <w:marLeft w:val="360"/>
          <w:marRight w:val="0"/>
          <w:marTop w:val="240"/>
          <w:marBottom w:val="120"/>
          <w:divBdr>
            <w:top w:val="none" w:sz="0" w:space="0" w:color="auto"/>
            <w:left w:val="none" w:sz="0" w:space="0" w:color="auto"/>
            <w:bottom w:val="none" w:sz="0" w:space="0" w:color="auto"/>
            <w:right w:val="none" w:sz="0" w:space="0" w:color="auto"/>
          </w:divBdr>
        </w:div>
        <w:div w:id="1482505531">
          <w:marLeft w:val="360"/>
          <w:marRight w:val="0"/>
          <w:marTop w:val="240"/>
          <w:marBottom w:val="120"/>
          <w:divBdr>
            <w:top w:val="none" w:sz="0" w:space="0" w:color="auto"/>
            <w:left w:val="none" w:sz="0" w:space="0" w:color="auto"/>
            <w:bottom w:val="none" w:sz="0" w:space="0" w:color="auto"/>
            <w:right w:val="none" w:sz="0" w:space="0" w:color="auto"/>
          </w:divBdr>
        </w:div>
      </w:divsChild>
    </w:div>
    <w:div w:id="1614245836">
      <w:bodyDiv w:val="1"/>
      <w:marLeft w:val="0"/>
      <w:marRight w:val="0"/>
      <w:marTop w:val="0"/>
      <w:marBottom w:val="0"/>
      <w:divBdr>
        <w:top w:val="none" w:sz="0" w:space="0" w:color="auto"/>
        <w:left w:val="none" w:sz="0" w:space="0" w:color="auto"/>
        <w:bottom w:val="none" w:sz="0" w:space="0" w:color="auto"/>
        <w:right w:val="none" w:sz="0" w:space="0" w:color="auto"/>
      </w:divBdr>
    </w:div>
    <w:div w:id="1658073640">
      <w:bodyDiv w:val="1"/>
      <w:marLeft w:val="0"/>
      <w:marRight w:val="0"/>
      <w:marTop w:val="0"/>
      <w:marBottom w:val="0"/>
      <w:divBdr>
        <w:top w:val="none" w:sz="0" w:space="0" w:color="auto"/>
        <w:left w:val="none" w:sz="0" w:space="0" w:color="auto"/>
        <w:bottom w:val="none" w:sz="0" w:space="0" w:color="auto"/>
        <w:right w:val="none" w:sz="0" w:space="0" w:color="auto"/>
      </w:divBdr>
    </w:div>
    <w:div w:id="1664041729">
      <w:bodyDiv w:val="1"/>
      <w:marLeft w:val="0"/>
      <w:marRight w:val="0"/>
      <w:marTop w:val="0"/>
      <w:marBottom w:val="0"/>
      <w:divBdr>
        <w:top w:val="none" w:sz="0" w:space="0" w:color="auto"/>
        <w:left w:val="none" w:sz="0" w:space="0" w:color="auto"/>
        <w:bottom w:val="none" w:sz="0" w:space="0" w:color="auto"/>
        <w:right w:val="none" w:sz="0" w:space="0" w:color="auto"/>
      </w:divBdr>
    </w:div>
    <w:div w:id="1714383879">
      <w:bodyDiv w:val="1"/>
      <w:marLeft w:val="0"/>
      <w:marRight w:val="0"/>
      <w:marTop w:val="0"/>
      <w:marBottom w:val="0"/>
      <w:divBdr>
        <w:top w:val="none" w:sz="0" w:space="0" w:color="auto"/>
        <w:left w:val="none" w:sz="0" w:space="0" w:color="auto"/>
        <w:bottom w:val="none" w:sz="0" w:space="0" w:color="auto"/>
        <w:right w:val="none" w:sz="0" w:space="0" w:color="auto"/>
      </w:divBdr>
    </w:div>
    <w:div w:id="1726639316">
      <w:bodyDiv w:val="1"/>
      <w:marLeft w:val="0"/>
      <w:marRight w:val="0"/>
      <w:marTop w:val="0"/>
      <w:marBottom w:val="0"/>
      <w:divBdr>
        <w:top w:val="none" w:sz="0" w:space="0" w:color="auto"/>
        <w:left w:val="none" w:sz="0" w:space="0" w:color="auto"/>
        <w:bottom w:val="none" w:sz="0" w:space="0" w:color="auto"/>
        <w:right w:val="none" w:sz="0" w:space="0" w:color="auto"/>
      </w:divBdr>
    </w:div>
    <w:div w:id="1753813607">
      <w:bodyDiv w:val="1"/>
      <w:marLeft w:val="0"/>
      <w:marRight w:val="0"/>
      <w:marTop w:val="0"/>
      <w:marBottom w:val="0"/>
      <w:divBdr>
        <w:top w:val="none" w:sz="0" w:space="0" w:color="auto"/>
        <w:left w:val="none" w:sz="0" w:space="0" w:color="auto"/>
        <w:bottom w:val="none" w:sz="0" w:space="0" w:color="auto"/>
        <w:right w:val="none" w:sz="0" w:space="0" w:color="auto"/>
      </w:divBdr>
    </w:div>
    <w:div w:id="1763062303">
      <w:bodyDiv w:val="1"/>
      <w:marLeft w:val="0"/>
      <w:marRight w:val="0"/>
      <w:marTop w:val="0"/>
      <w:marBottom w:val="0"/>
      <w:divBdr>
        <w:top w:val="none" w:sz="0" w:space="0" w:color="auto"/>
        <w:left w:val="none" w:sz="0" w:space="0" w:color="auto"/>
        <w:bottom w:val="none" w:sz="0" w:space="0" w:color="auto"/>
        <w:right w:val="none" w:sz="0" w:space="0" w:color="auto"/>
      </w:divBdr>
    </w:div>
    <w:div w:id="1875993785">
      <w:bodyDiv w:val="1"/>
      <w:marLeft w:val="0"/>
      <w:marRight w:val="0"/>
      <w:marTop w:val="0"/>
      <w:marBottom w:val="0"/>
      <w:divBdr>
        <w:top w:val="none" w:sz="0" w:space="0" w:color="auto"/>
        <w:left w:val="none" w:sz="0" w:space="0" w:color="auto"/>
        <w:bottom w:val="none" w:sz="0" w:space="0" w:color="auto"/>
        <w:right w:val="none" w:sz="0" w:space="0" w:color="auto"/>
      </w:divBdr>
    </w:div>
    <w:div w:id="1878739820">
      <w:bodyDiv w:val="1"/>
      <w:marLeft w:val="0"/>
      <w:marRight w:val="0"/>
      <w:marTop w:val="0"/>
      <w:marBottom w:val="0"/>
      <w:divBdr>
        <w:top w:val="none" w:sz="0" w:space="0" w:color="auto"/>
        <w:left w:val="none" w:sz="0" w:space="0" w:color="auto"/>
        <w:bottom w:val="none" w:sz="0" w:space="0" w:color="auto"/>
        <w:right w:val="none" w:sz="0" w:space="0" w:color="auto"/>
      </w:divBdr>
      <w:divsChild>
        <w:div w:id="1433696464">
          <w:marLeft w:val="0"/>
          <w:marRight w:val="0"/>
          <w:marTop w:val="90"/>
          <w:marBottom w:val="0"/>
          <w:divBdr>
            <w:top w:val="none" w:sz="0" w:space="0" w:color="auto"/>
            <w:left w:val="none" w:sz="0" w:space="0" w:color="auto"/>
            <w:bottom w:val="none" w:sz="0" w:space="0" w:color="auto"/>
            <w:right w:val="none" w:sz="0" w:space="0" w:color="auto"/>
          </w:divBdr>
          <w:divsChild>
            <w:div w:id="866139996">
              <w:marLeft w:val="0"/>
              <w:marRight w:val="0"/>
              <w:marTop w:val="0"/>
              <w:marBottom w:val="420"/>
              <w:divBdr>
                <w:top w:val="none" w:sz="0" w:space="0" w:color="auto"/>
                <w:left w:val="none" w:sz="0" w:space="0" w:color="auto"/>
                <w:bottom w:val="none" w:sz="0" w:space="0" w:color="auto"/>
                <w:right w:val="none" w:sz="0" w:space="0" w:color="auto"/>
              </w:divBdr>
              <w:divsChild>
                <w:div w:id="1477912874">
                  <w:marLeft w:val="0"/>
                  <w:marRight w:val="0"/>
                  <w:marTop w:val="0"/>
                  <w:marBottom w:val="0"/>
                  <w:divBdr>
                    <w:top w:val="none" w:sz="0" w:space="0" w:color="auto"/>
                    <w:left w:val="none" w:sz="0" w:space="0" w:color="auto"/>
                    <w:bottom w:val="none" w:sz="0" w:space="0" w:color="auto"/>
                    <w:right w:val="none" w:sz="0" w:space="0" w:color="auto"/>
                  </w:divBdr>
                  <w:divsChild>
                    <w:div w:id="19162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10831">
      <w:bodyDiv w:val="1"/>
      <w:marLeft w:val="0"/>
      <w:marRight w:val="0"/>
      <w:marTop w:val="0"/>
      <w:marBottom w:val="0"/>
      <w:divBdr>
        <w:top w:val="none" w:sz="0" w:space="0" w:color="auto"/>
        <w:left w:val="none" w:sz="0" w:space="0" w:color="auto"/>
        <w:bottom w:val="none" w:sz="0" w:space="0" w:color="auto"/>
        <w:right w:val="none" w:sz="0" w:space="0" w:color="auto"/>
      </w:divBdr>
    </w:div>
    <w:div w:id="1965771065">
      <w:bodyDiv w:val="1"/>
      <w:marLeft w:val="0"/>
      <w:marRight w:val="0"/>
      <w:marTop w:val="0"/>
      <w:marBottom w:val="0"/>
      <w:divBdr>
        <w:top w:val="none" w:sz="0" w:space="0" w:color="auto"/>
        <w:left w:val="none" w:sz="0" w:space="0" w:color="auto"/>
        <w:bottom w:val="none" w:sz="0" w:space="0" w:color="auto"/>
        <w:right w:val="none" w:sz="0" w:space="0" w:color="auto"/>
      </w:divBdr>
    </w:div>
    <w:div w:id="1990666580">
      <w:bodyDiv w:val="1"/>
      <w:marLeft w:val="0"/>
      <w:marRight w:val="0"/>
      <w:marTop w:val="0"/>
      <w:marBottom w:val="0"/>
      <w:divBdr>
        <w:top w:val="none" w:sz="0" w:space="0" w:color="auto"/>
        <w:left w:val="none" w:sz="0" w:space="0" w:color="auto"/>
        <w:bottom w:val="none" w:sz="0" w:space="0" w:color="auto"/>
        <w:right w:val="none" w:sz="0" w:space="0" w:color="auto"/>
      </w:divBdr>
    </w:div>
    <w:div w:id="2004428917">
      <w:bodyDiv w:val="1"/>
      <w:marLeft w:val="0"/>
      <w:marRight w:val="0"/>
      <w:marTop w:val="0"/>
      <w:marBottom w:val="0"/>
      <w:divBdr>
        <w:top w:val="none" w:sz="0" w:space="0" w:color="auto"/>
        <w:left w:val="none" w:sz="0" w:space="0" w:color="auto"/>
        <w:bottom w:val="none" w:sz="0" w:space="0" w:color="auto"/>
        <w:right w:val="none" w:sz="0" w:space="0" w:color="auto"/>
      </w:divBdr>
    </w:div>
    <w:div w:id="2025936511">
      <w:bodyDiv w:val="1"/>
      <w:marLeft w:val="0"/>
      <w:marRight w:val="0"/>
      <w:marTop w:val="0"/>
      <w:marBottom w:val="0"/>
      <w:divBdr>
        <w:top w:val="none" w:sz="0" w:space="0" w:color="auto"/>
        <w:left w:val="none" w:sz="0" w:space="0" w:color="auto"/>
        <w:bottom w:val="none" w:sz="0" w:space="0" w:color="auto"/>
        <w:right w:val="none" w:sz="0" w:space="0" w:color="auto"/>
      </w:divBdr>
    </w:div>
    <w:div w:id="21228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abacinet.org" TargetMode="External"/><Relationship Id="rId18" Type="http://schemas.openxmlformats.org/officeDocument/2006/relationships/hyperlink" Target="http://www.rbas-rpnewsletter.org/Home/index/?aid=185" TargetMode="External"/><Relationship Id="rId26" Type="http://schemas.openxmlformats.org/officeDocument/2006/relationships/hyperlink" Target="http://www.rbas-rpnewsletter.org/Home/index/?aid=210" TargetMode="External"/><Relationship Id="rId39" Type="http://schemas.openxmlformats.org/officeDocument/2006/relationships/theme" Target="theme/theme1.xml"/><Relationship Id="rId21" Type="http://schemas.openxmlformats.org/officeDocument/2006/relationships/hyperlink" Target="http://www.rbas-rpnewsletter.org/Home/index/?aid=191" TargetMode="External"/><Relationship Id="rId34" Type="http://schemas.openxmlformats.org/officeDocument/2006/relationships/hyperlink" Target="https://twitter.com/UNDPArabic/status/150153074108723610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rbas-rpnewsletter.org/Home/index/?aid=166" TargetMode="External"/><Relationship Id="rId20" Type="http://schemas.openxmlformats.org/officeDocument/2006/relationships/hyperlink" Target="http://www.rbas-rpnewsletter.org/Home/index/?aid=190" TargetMode="External"/><Relationship Id="rId29" Type="http://schemas.openxmlformats.org/officeDocument/2006/relationships/hyperlink" Target="http://www.rbas-rpnewsletter.org/Home/index/?aid=217" TargetMode="External"/><Relationship Id="rId41"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rbas-rpnewsletter.org/Home/index/?aid=207" TargetMode="External"/><Relationship Id="rId32" Type="http://schemas.openxmlformats.org/officeDocument/2006/relationships/hyperlink" Target="https://www.arabstates.undp.org/content/rbas/en/home/sustainable-development/arab-economic-integration-for-sustainable-development--aeisd--.html" TargetMode="External"/><Relationship Id="rId37" Type="http://schemas.openxmlformats.org/officeDocument/2006/relationships/footer" Target="footer3.xml"/><Relationship Id="rId40"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www.rbas-rpnewsletter.org/Home/index/?aid=151" TargetMode="External"/><Relationship Id="rId23" Type="http://schemas.openxmlformats.org/officeDocument/2006/relationships/hyperlink" Target="http://www.rbas-rpnewsletter.org/Home/index/?aid=197" TargetMode="External"/><Relationship Id="rId28" Type="http://schemas.openxmlformats.org/officeDocument/2006/relationships/hyperlink" Target="http://www.rbas-rpnewsletter.org/Home/index/?aid=212"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rbas-rpnewsletter.org/Home/index/?aid=187" TargetMode="External"/><Relationship Id="rId31" Type="http://schemas.openxmlformats.org/officeDocument/2006/relationships/hyperlink" Target="https://www.arabstates.undp.org/content/rbas/en/home/presscenter/pressreleases/2022/undp-and-sida-support-lebanese-companies-export-to-the-united-s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bas-rpnewsletter.org/Home/index/?aid=142" TargetMode="External"/><Relationship Id="rId22" Type="http://schemas.openxmlformats.org/officeDocument/2006/relationships/hyperlink" Target="http://www.rbas-rpnewsletter.org/Home/index/?aid=194" TargetMode="External"/><Relationship Id="rId27" Type="http://schemas.openxmlformats.org/officeDocument/2006/relationships/hyperlink" Target="https://www.arabstates.undp.org/content/rbas/en/home/ourperspective/ourperspectivearticles/2019/arab-economic-integration-for-growth--peace-and-stability-.html" TargetMode="External"/><Relationship Id="rId30" Type="http://schemas.openxmlformats.org/officeDocument/2006/relationships/hyperlink" Target="http://www.rbas-rpnewsletter.org/Home/index/?aid=224"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rbas-rpnewsletter.org/Home/index/?aid=174" TargetMode="External"/><Relationship Id="rId25" Type="http://schemas.openxmlformats.org/officeDocument/2006/relationships/hyperlink" Target="http://www.rbas-rpnewsletter.org/Home/index/?aid=209" TargetMode="External"/><Relationship Id="rId33" Type="http://schemas.openxmlformats.org/officeDocument/2006/relationships/hyperlink" Target="https://twitter.com/UNDPArabic" TargetMode="External"/><Relationship Id="rId38"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escwa.org/publications/transport-connectivity-global-value-chains" TargetMode="External"/><Relationship Id="rId2" Type="http://schemas.openxmlformats.org/officeDocument/2006/relationships/hyperlink" Target="https://databank.worldbank.org/source/world-development-indicators" TargetMode="External"/><Relationship Id="rId1" Type="http://schemas.openxmlformats.org/officeDocument/2006/relationships/hyperlink" Target="https://unctad.org/statistics" TargetMode="External"/><Relationship Id="rId5" Type="http://schemas.openxmlformats.org/officeDocument/2006/relationships/hyperlink" Target="https://www.imf.org/en/News/Articles/2021/11/17/~/link.aspx?_id=9C8411E26BD84173955E3B29FB6ED485&amp;_z=z" TargetMode="External"/><Relationship Id="rId4" Type="http://schemas.openxmlformats.org/officeDocument/2006/relationships/hyperlink" Target="https://databank.worldbank.org/source/world-development-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2022-07-01T08:00:00+00:00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2017-10-01T04:00:00+00:00</Document_x0020_Coverage_x0020_Period_x0020_Start_x0020_Date>
    <Document_x0020_Coverage_x0020_Period_x0020_End_x0020_Date xmlns="f1161f5b-24a3-4c2d-bc81-44cb9325e8ee">2022-03-31T04:00:00+00:00</Document_x0020_Coverage_x0020_Period_x0020_End_x0020_Date>
    <Project_x0020_Number xmlns="f1161f5b-24a3-4c2d-bc81-44cb9325e8ee" xsi:nil="true"/>
    <Project_x0020_Manager xmlns="f1161f5b-24a3-4c2d-bc81-44cb9325e8ee" xsi:nil="true"/>
    <TaxCatchAll xmlns="1ed4137b-41b2-488b-8250-6d369ec27664">
      <Value>1112</Value>
      <Value>1394</Value>
      <Value>1</Value>
      <Value>763</Value>
    </TaxCatchAll>
    <c4e2ab2cc9354bbf9064eeb465a566ea xmlns="1ed4137b-41b2-488b-8250-6d369ec27664">
      <Terms xmlns="http://schemas.microsoft.com/office/infopath/2007/PartnerControls"/>
    </c4e2ab2cc9354bbf9064eeb465a566ea>
    <UndpProjectNo xmlns="1ed4137b-41b2-488b-8250-6d369ec27664">00099964</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H05</TermName>
          <TermId xmlns="http://schemas.microsoft.com/office/infopath/2007/PartnerControls">b3e864a6-be94-4fb8-a65c-df105a2d823f</TermId>
        </TermInfo>
      </Terms>
    </gc6531b704974d528487414686b72f6f>
    <_dlc_DocId xmlns="f1161f5b-24a3-4c2d-bc81-44cb9325e8ee">ATLASPDC-4-162740</_dlc_DocId>
    <_dlc_DocIdUrl xmlns="f1161f5b-24a3-4c2d-bc81-44cb9325e8ee">
      <Url>https://info.undp.org/docs/pdc/_layouts/DocIdRedir.aspx?ID=ATLASPDC-4-162740</Url>
      <Description>ATLASPDC-4-162740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FBBB82-B69F-4F5F-836B-6A8B53B71076}">
  <ds:schemaRefs>
    <ds:schemaRef ds:uri="http://schemas.microsoft.com/sharepoint/v3/contenttype/forms"/>
  </ds:schemaRefs>
</ds:datastoreItem>
</file>

<file path=customXml/itemProps2.xml><?xml version="1.0" encoding="utf-8"?>
<ds:datastoreItem xmlns:ds="http://schemas.openxmlformats.org/officeDocument/2006/customXml" ds:itemID="{078261CC-3BE0-4B03-990B-3B5B3C5BA5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F6BA76-BCA2-4F17-A1B7-F4D594D91D95}"/>
</file>

<file path=customXml/itemProps4.xml><?xml version="1.0" encoding="utf-8"?>
<ds:datastoreItem xmlns:ds="http://schemas.openxmlformats.org/officeDocument/2006/customXml" ds:itemID="{9C511BC0-961A-46B9-AEFB-B4605D6EFE27}">
  <ds:schemaRefs>
    <ds:schemaRef ds:uri="http://schemas.openxmlformats.org/officeDocument/2006/bibliography"/>
  </ds:schemaRefs>
</ds:datastoreItem>
</file>

<file path=customXml/itemProps5.xml><?xml version="1.0" encoding="utf-8"?>
<ds:datastoreItem xmlns:ds="http://schemas.openxmlformats.org/officeDocument/2006/customXml" ds:itemID="{A418C312-8F1A-4864-AC71-08B2A05F2638}"/>
</file>

<file path=customXml/itemProps6.xml><?xml version="1.0" encoding="utf-8"?>
<ds:datastoreItem xmlns:ds="http://schemas.openxmlformats.org/officeDocument/2006/customXml" ds:itemID="{5A7CCE8E-6294-4F8A-B14E-D6A404A84727}"/>
</file>

<file path=docProps/app.xml><?xml version="1.0" encoding="utf-8"?>
<Properties xmlns="http://schemas.openxmlformats.org/officeDocument/2006/extended-properties" xmlns:vt="http://schemas.openxmlformats.org/officeDocument/2006/docPropsVTypes">
  <Template>Normal</Template>
  <TotalTime>4</TotalTime>
  <Pages>43</Pages>
  <Words>17786</Words>
  <Characters>101386</Characters>
  <Application>Microsoft Office Word</Application>
  <DocSecurity>4</DocSecurity>
  <Lines>844</Lines>
  <Paragraphs>237</Paragraphs>
  <ScaleCrop>false</ScaleCrop>
  <HeadingPairs>
    <vt:vector size="2" baseType="variant">
      <vt:variant>
        <vt:lpstr>Title</vt:lpstr>
      </vt:variant>
      <vt:variant>
        <vt:i4>1</vt:i4>
      </vt:variant>
    </vt:vector>
  </HeadingPairs>
  <TitlesOfParts>
    <vt:vector size="1" baseType="lpstr">
      <vt:lpstr>Final Progress Report 2021</vt:lpstr>
    </vt:vector>
  </TitlesOfParts>
  <Manager>Quang Anh Le</Manager>
  <Company/>
  <LinksUpToDate>false</LinksUpToDate>
  <CharactersWithSpaces>118935</CharactersWithSpaces>
  <SharedDoc>false</SharedDoc>
  <HLinks>
    <vt:vector size="276" baseType="variant">
      <vt:variant>
        <vt:i4>65604</vt:i4>
      </vt:variant>
      <vt:variant>
        <vt:i4>111</vt:i4>
      </vt:variant>
      <vt:variant>
        <vt:i4>0</vt:i4>
      </vt:variant>
      <vt:variant>
        <vt:i4>5</vt:i4>
      </vt:variant>
      <vt:variant>
        <vt:lpwstr>https://twitter.com/UNDPArabic/status/1501530741087236100</vt:lpwstr>
      </vt:variant>
      <vt:variant>
        <vt:lpwstr/>
      </vt:variant>
      <vt:variant>
        <vt:i4>7602221</vt:i4>
      </vt:variant>
      <vt:variant>
        <vt:i4>108</vt:i4>
      </vt:variant>
      <vt:variant>
        <vt:i4>0</vt:i4>
      </vt:variant>
      <vt:variant>
        <vt:i4>5</vt:i4>
      </vt:variant>
      <vt:variant>
        <vt:lpwstr>https://twitter.com/UNDPArabic</vt:lpwstr>
      </vt:variant>
      <vt:variant>
        <vt:lpwstr/>
      </vt:variant>
      <vt:variant>
        <vt:i4>4456465</vt:i4>
      </vt:variant>
      <vt:variant>
        <vt:i4>102</vt:i4>
      </vt:variant>
      <vt:variant>
        <vt:i4>0</vt:i4>
      </vt:variant>
      <vt:variant>
        <vt:i4>5</vt:i4>
      </vt:variant>
      <vt:variant>
        <vt:lpwstr>https://www.arabstates.undp.org/content/rbas/en/home/sustainable-development/arab-economic-integration-for-sustainable-development--aeisd--.html</vt:lpwstr>
      </vt:variant>
      <vt:variant>
        <vt:lpwstr/>
      </vt:variant>
      <vt:variant>
        <vt:i4>1376347</vt:i4>
      </vt:variant>
      <vt:variant>
        <vt:i4>99</vt:i4>
      </vt:variant>
      <vt:variant>
        <vt:i4>0</vt:i4>
      </vt:variant>
      <vt:variant>
        <vt:i4>5</vt:i4>
      </vt:variant>
      <vt:variant>
        <vt:lpwstr>https://www.arabstates.undp.org/content/rbas/en/home/presscenter/pressreleases/2022/undp-and-sida-support-lebanese-companies-export-to-the-united-st.html</vt:lpwstr>
      </vt:variant>
      <vt:variant>
        <vt:lpwstr/>
      </vt:variant>
      <vt:variant>
        <vt:i4>1376258</vt:i4>
      </vt:variant>
      <vt:variant>
        <vt:i4>96</vt:i4>
      </vt:variant>
      <vt:variant>
        <vt:i4>0</vt:i4>
      </vt:variant>
      <vt:variant>
        <vt:i4>5</vt:i4>
      </vt:variant>
      <vt:variant>
        <vt:lpwstr>http://www.rbas-rpnewsletter.org/Home/index/?aid=224</vt:lpwstr>
      </vt:variant>
      <vt:variant>
        <vt:lpwstr/>
      </vt:variant>
      <vt:variant>
        <vt:i4>1441793</vt:i4>
      </vt:variant>
      <vt:variant>
        <vt:i4>93</vt:i4>
      </vt:variant>
      <vt:variant>
        <vt:i4>0</vt:i4>
      </vt:variant>
      <vt:variant>
        <vt:i4>5</vt:i4>
      </vt:variant>
      <vt:variant>
        <vt:lpwstr>http://www.rbas-rpnewsletter.org/Home/index/?aid=217</vt:lpwstr>
      </vt:variant>
      <vt:variant>
        <vt:lpwstr/>
      </vt:variant>
      <vt:variant>
        <vt:i4>1245185</vt:i4>
      </vt:variant>
      <vt:variant>
        <vt:i4>90</vt:i4>
      </vt:variant>
      <vt:variant>
        <vt:i4>0</vt:i4>
      </vt:variant>
      <vt:variant>
        <vt:i4>5</vt:i4>
      </vt:variant>
      <vt:variant>
        <vt:lpwstr>http://www.rbas-rpnewsletter.org/Home/index/?aid=212</vt:lpwstr>
      </vt:variant>
      <vt:variant>
        <vt:lpwstr/>
      </vt:variant>
      <vt:variant>
        <vt:i4>1245185</vt:i4>
      </vt:variant>
      <vt:variant>
        <vt:i4>87</vt:i4>
      </vt:variant>
      <vt:variant>
        <vt:i4>0</vt:i4>
      </vt:variant>
      <vt:variant>
        <vt:i4>5</vt:i4>
      </vt:variant>
      <vt:variant>
        <vt:lpwstr>http://www.rbas-rpnewsletter.org/Home/index/?aid=212</vt:lpwstr>
      </vt:variant>
      <vt:variant>
        <vt:lpwstr/>
      </vt:variant>
      <vt:variant>
        <vt:i4>7536749</vt:i4>
      </vt:variant>
      <vt:variant>
        <vt:i4>84</vt:i4>
      </vt:variant>
      <vt:variant>
        <vt:i4>0</vt:i4>
      </vt:variant>
      <vt:variant>
        <vt:i4>5</vt:i4>
      </vt:variant>
      <vt:variant>
        <vt:lpwstr>https://www.arabstates.undp.org/content/rbas/en/home/ourperspective/ourperspectivearticles/2019/arab-economic-integration-for-growth--peace-and-stability-.html</vt:lpwstr>
      </vt:variant>
      <vt:variant>
        <vt:lpwstr/>
      </vt:variant>
      <vt:variant>
        <vt:i4>1114113</vt:i4>
      </vt:variant>
      <vt:variant>
        <vt:i4>81</vt:i4>
      </vt:variant>
      <vt:variant>
        <vt:i4>0</vt:i4>
      </vt:variant>
      <vt:variant>
        <vt:i4>5</vt:i4>
      </vt:variant>
      <vt:variant>
        <vt:lpwstr>http://www.rbas-rpnewsletter.org/Home/index/?aid=210</vt:lpwstr>
      </vt:variant>
      <vt:variant>
        <vt:lpwstr/>
      </vt:variant>
      <vt:variant>
        <vt:i4>1114113</vt:i4>
      </vt:variant>
      <vt:variant>
        <vt:i4>78</vt:i4>
      </vt:variant>
      <vt:variant>
        <vt:i4>0</vt:i4>
      </vt:variant>
      <vt:variant>
        <vt:i4>5</vt:i4>
      </vt:variant>
      <vt:variant>
        <vt:lpwstr>http://www.rbas-rpnewsletter.org/Home/index/?aid=210</vt:lpwstr>
      </vt:variant>
      <vt:variant>
        <vt:lpwstr/>
      </vt:variant>
      <vt:variant>
        <vt:i4>1572864</vt:i4>
      </vt:variant>
      <vt:variant>
        <vt:i4>75</vt:i4>
      </vt:variant>
      <vt:variant>
        <vt:i4>0</vt:i4>
      </vt:variant>
      <vt:variant>
        <vt:i4>5</vt:i4>
      </vt:variant>
      <vt:variant>
        <vt:lpwstr>http://www.rbas-rpnewsletter.org/Home/index/?aid=209</vt:lpwstr>
      </vt:variant>
      <vt:variant>
        <vt:lpwstr/>
      </vt:variant>
      <vt:variant>
        <vt:i4>1441792</vt:i4>
      </vt:variant>
      <vt:variant>
        <vt:i4>72</vt:i4>
      </vt:variant>
      <vt:variant>
        <vt:i4>0</vt:i4>
      </vt:variant>
      <vt:variant>
        <vt:i4>5</vt:i4>
      </vt:variant>
      <vt:variant>
        <vt:lpwstr>http://www.rbas-rpnewsletter.org/Home/index/?aid=207</vt:lpwstr>
      </vt:variant>
      <vt:variant>
        <vt:lpwstr/>
      </vt:variant>
      <vt:variant>
        <vt:i4>1376265</vt:i4>
      </vt:variant>
      <vt:variant>
        <vt:i4>69</vt:i4>
      </vt:variant>
      <vt:variant>
        <vt:i4>0</vt:i4>
      </vt:variant>
      <vt:variant>
        <vt:i4>5</vt:i4>
      </vt:variant>
      <vt:variant>
        <vt:lpwstr>http://www.rbas-rpnewsletter.org/Home/index/?aid=197</vt:lpwstr>
      </vt:variant>
      <vt:variant>
        <vt:lpwstr/>
      </vt:variant>
      <vt:variant>
        <vt:i4>1441801</vt:i4>
      </vt:variant>
      <vt:variant>
        <vt:i4>66</vt:i4>
      </vt:variant>
      <vt:variant>
        <vt:i4>0</vt:i4>
      </vt:variant>
      <vt:variant>
        <vt:i4>5</vt:i4>
      </vt:variant>
      <vt:variant>
        <vt:lpwstr>http://www.rbas-rpnewsletter.org/Home/index/?aid=194</vt:lpwstr>
      </vt:variant>
      <vt:variant>
        <vt:lpwstr/>
      </vt:variant>
      <vt:variant>
        <vt:i4>1245193</vt:i4>
      </vt:variant>
      <vt:variant>
        <vt:i4>63</vt:i4>
      </vt:variant>
      <vt:variant>
        <vt:i4>0</vt:i4>
      </vt:variant>
      <vt:variant>
        <vt:i4>5</vt:i4>
      </vt:variant>
      <vt:variant>
        <vt:lpwstr>http://www.rbas-rpnewsletter.org/Home/index/?aid=191</vt:lpwstr>
      </vt:variant>
      <vt:variant>
        <vt:lpwstr/>
      </vt:variant>
      <vt:variant>
        <vt:i4>1179657</vt:i4>
      </vt:variant>
      <vt:variant>
        <vt:i4>60</vt:i4>
      </vt:variant>
      <vt:variant>
        <vt:i4>0</vt:i4>
      </vt:variant>
      <vt:variant>
        <vt:i4>5</vt:i4>
      </vt:variant>
      <vt:variant>
        <vt:lpwstr>http://www.rbas-rpnewsletter.org/Home/index/?aid=190</vt:lpwstr>
      </vt:variant>
      <vt:variant>
        <vt:lpwstr/>
      </vt:variant>
      <vt:variant>
        <vt:i4>1376264</vt:i4>
      </vt:variant>
      <vt:variant>
        <vt:i4>57</vt:i4>
      </vt:variant>
      <vt:variant>
        <vt:i4>0</vt:i4>
      </vt:variant>
      <vt:variant>
        <vt:i4>5</vt:i4>
      </vt:variant>
      <vt:variant>
        <vt:lpwstr>http://www.rbas-rpnewsletter.org/Home/index/?aid=187</vt:lpwstr>
      </vt:variant>
      <vt:variant>
        <vt:lpwstr/>
      </vt:variant>
      <vt:variant>
        <vt:i4>1507336</vt:i4>
      </vt:variant>
      <vt:variant>
        <vt:i4>54</vt:i4>
      </vt:variant>
      <vt:variant>
        <vt:i4>0</vt:i4>
      </vt:variant>
      <vt:variant>
        <vt:i4>5</vt:i4>
      </vt:variant>
      <vt:variant>
        <vt:lpwstr>http://www.rbas-rpnewsletter.org/Home/index/?aid=185</vt:lpwstr>
      </vt:variant>
      <vt:variant>
        <vt:lpwstr/>
      </vt:variant>
      <vt:variant>
        <vt:i4>1441799</vt:i4>
      </vt:variant>
      <vt:variant>
        <vt:i4>51</vt:i4>
      </vt:variant>
      <vt:variant>
        <vt:i4>0</vt:i4>
      </vt:variant>
      <vt:variant>
        <vt:i4>5</vt:i4>
      </vt:variant>
      <vt:variant>
        <vt:lpwstr>http://www.rbas-rpnewsletter.org/Home/index/?aid=174</vt:lpwstr>
      </vt:variant>
      <vt:variant>
        <vt:lpwstr/>
      </vt:variant>
      <vt:variant>
        <vt:i4>1310726</vt:i4>
      </vt:variant>
      <vt:variant>
        <vt:i4>48</vt:i4>
      </vt:variant>
      <vt:variant>
        <vt:i4>0</vt:i4>
      </vt:variant>
      <vt:variant>
        <vt:i4>5</vt:i4>
      </vt:variant>
      <vt:variant>
        <vt:lpwstr>http://www.rbas-rpnewsletter.org/Home/index/?aid=166</vt:lpwstr>
      </vt:variant>
      <vt:variant>
        <vt:lpwstr/>
      </vt:variant>
      <vt:variant>
        <vt:i4>1245189</vt:i4>
      </vt:variant>
      <vt:variant>
        <vt:i4>45</vt:i4>
      </vt:variant>
      <vt:variant>
        <vt:i4>0</vt:i4>
      </vt:variant>
      <vt:variant>
        <vt:i4>5</vt:i4>
      </vt:variant>
      <vt:variant>
        <vt:lpwstr>http://www.rbas-rpnewsletter.org/Home/index/?aid=151</vt:lpwstr>
      </vt:variant>
      <vt:variant>
        <vt:lpwstr/>
      </vt:variant>
      <vt:variant>
        <vt:i4>1048580</vt:i4>
      </vt:variant>
      <vt:variant>
        <vt:i4>42</vt:i4>
      </vt:variant>
      <vt:variant>
        <vt:i4>0</vt:i4>
      </vt:variant>
      <vt:variant>
        <vt:i4>5</vt:i4>
      </vt:variant>
      <vt:variant>
        <vt:lpwstr>http://www.rbas-rpnewsletter.org/Home/index/?aid=142</vt:lpwstr>
      </vt:variant>
      <vt:variant>
        <vt:lpwstr/>
      </vt:variant>
      <vt:variant>
        <vt:i4>3473457</vt:i4>
      </vt:variant>
      <vt:variant>
        <vt:i4>39</vt:i4>
      </vt:variant>
      <vt:variant>
        <vt:i4>0</vt:i4>
      </vt:variant>
      <vt:variant>
        <vt:i4>5</vt:i4>
      </vt:variant>
      <vt:variant>
        <vt:lpwstr>http://www.arabacinet.org/</vt:lpwstr>
      </vt:variant>
      <vt:variant>
        <vt:lpwstr/>
      </vt:variant>
      <vt:variant>
        <vt:i4>3211294</vt:i4>
      </vt:variant>
      <vt:variant>
        <vt:i4>35</vt:i4>
      </vt:variant>
      <vt:variant>
        <vt:i4>0</vt:i4>
      </vt:variant>
      <vt:variant>
        <vt:i4>5</vt:i4>
      </vt:variant>
      <vt:variant>
        <vt:lpwstr>C:\Users\alessandra.muto\AppData\Local\Microsoft\Windows\INetCache\Content.Outlook\IJIJHWS8\EUTF MADAD 1st interim report Y1 2019 T04_132_approved clean.docx</vt:lpwstr>
      </vt:variant>
      <vt:variant>
        <vt:lpwstr>_Toc33614421</vt:lpwstr>
      </vt:variant>
      <vt:variant>
        <vt:i4>3145758</vt:i4>
      </vt:variant>
      <vt:variant>
        <vt:i4>32</vt:i4>
      </vt:variant>
      <vt:variant>
        <vt:i4>0</vt:i4>
      </vt:variant>
      <vt:variant>
        <vt:i4>5</vt:i4>
      </vt:variant>
      <vt:variant>
        <vt:lpwstr>C:\Users\alessandra.muto\AppData\Local\Microsoft\Windows\INetCache\Content.Outlook\IJIJHWS8\EUTF MADAD 1st interim report Y1 2019 T04_132_approved clean.docx</vt:lpwstr>
      </vt:variant>
      <vt:variant>
        <vt:lpwstr>_Toc33614420</vt:lpwstr>
      </vt:variant>
      <vt:variant>
        <vt:i4>3735581</vt:i4>
      </vt:variant>
      <vt:variant>
        <vt:i4>29</vt:i4>
      </vt:variant>
      <vt:variant>
        <vt:i4>0</vt:i4>
      </vt:variant>
      <vt:variant>
        <vt:i4>5</vt:i4>
      </vt:variant>
      <vt:variant>
        <vt:lpwstr>C:\Users\alessandra.muto\AppData\Local\Microsoft\Windows\INetCache\Content.Outlook\IJIJHWS8\EUTF MADAD 1st interim report Y1 2019 T04_132_approved clean.docx</vt:lpwstr>
      </vt:variant>
      <vt:variant>
        <vt:lpwstr>_Toc33614419</vt:lpwstr>
      </vt:variant>
      <vt:variant>
        <vt:i4>3604509</vt:i4>
      </vt:variant>
      <vt:variant>
        <vt:i4>26</vt:i4>
      </vt:variant>
      <vt:variant>
        <vt:i4>0</vt:i4>
      </vt:variant>
      <vt:variant>
        <vt:i4>5</vt:i4>
      </vt:variant>
      <vt:variant>
        <vt:lpwstr>C:\Users\alessandra.muto\AppData\Local\Microsoft\Windows\INetCache\Content.Outlook\IJIJHWS8\EUTF MADAD 1st interim report Y1 2019 T04_132_approved clean.docx</vt:lpwstr>
      </vt:variant>
      <vt:variant>
        <vt:lpwstr>_Toc33614417</vt:lpwstr>
      </vt:variant>
      <vt:variant>
        <vt:i4>3538973</vt:i4>
      </vt:variant>
      <vt:variant>
        <vt:i4>23</vt:i4>
      </vt:variant>
      <vt:variant>
        <vt:i4>0</vt:i4>
      </vt:variant>
      <vt:variant>
        <vt:i4>5</vt:i4>
      </vt:variant>
      <vt:variant>
        <vt:lpwstr>C:\Users\alessandra.muto\AppData\Local\Microsoft\Windows\INetCache\Content.Outlook\IJIJHWS8\EUTF MADAD 1st interim report Y1 2019 T04_132_approved clean.docx</vt:lpwstr>
      </vt:variant>
      <vt:variant>
        <vt:lpwstr>_Toc33614416</vt:lpwstr>
      </vt:variant>
      <vt:variant>
        <vt:i4>3473437</vt:i4>
      </vt:variant>
      <vt:variant>
        <vt:i4>20</vt:i4>
      </vt:variant>
      <vt:variant>
        <vt:i4>0</vt:i4>
      </vt:variant>
      <vt:variant>
        <vt:i4>5</vt:i4>
      </vt:variant>
      <vt:variant>
        <vt:lpwstr>C:\Users\alessandra.muto\AppData\Local\Microsoft\Windows\INetCache\Content.Outlook\IJIJHWS8\EUTF MADAD 1st interim report Y1 2019 T04_132_approved clean.docx</vt:lpwstr>
      </vt:variant>
      <vt:variant>
        <vt:lpwstr>_Toc33614415</vt:lpwstr>
      </vt:variant>
      <vt:variant>
        <vt:i4>3407901</vt:i4>
      </vt:variant>
      <vt:variant>
        <vt:i4>17</vt:i4>
      </vt:variant>
      <vt:variant>
        <vt:i4>0</vt:i4>
      </vt:variant>
      <vt:variant>
        <vt:i4>5</vt:i4>
      </vt:variant>
      <vt:variant>
        <vt:lpwstr>C:\Users\alessandra.muto\AppData\Local\Microsoft\Windows\INetCache\Content.Outlook\IJIJHWS8\EUTF MADAD 1st interim report Y1 2019 T04_132_approved clean.docx</vt:lpwstr>
      </vt:variant>
      <vt:variant>
        <vt:lpwstr>_Toc33614414</vt:lpwstr>
      </vt:variant>
      <vt:variant>
        <vt:i4>3276829</vt:i4>
      </vt:variant>
      <vt:variant>
        <vt:i4>11</vt:i4>
      </vt:variant>
      <vt:variant>
        <vt:i4>0</vt:i4>
      </vt:variant>
      <vt:variant>
        <vt:i4>5</vt:i4>
      </vt:variant>
      <vt:variant>
        <vt:lpwstr>C:\Users\alessandra.muto\AppData\Local\Microsoft\Windows\INetCache\Content.Outlook\IJIJHWS8\EUTF MADAD 1st interim report Y1 2019 T04_132_approved clean.docx</vt:lpwstr>
      </vt:variant>
      <vt:variant>
        <vt:lpwstr>_Toc33614412</vt:lpwstr>
      </vt:variant>
      <vt:variant>
        <vt:i4>3145757</vt:i4>
      </vt:variant>
      <vt:variant>
        <vt:i4>5</vt:i4>
      </vt:variant>
      <vt:variant>
        <vt:i4>0</vt:i4>
      </vt:variant>
      <vt:variant>
        <vt:i4>5</vt:i4>
      </vt:variant>
      <vt:variant>
        <vt:lpwstr>C:\Users\alessandra.muto\AppData\Local\Microsoft\Windows\INetCache\Content.Outlook\IJIJHWS8\EUTF MADAD 1st interim report Y1 2019 T04_132_approved clean.docx</vt:lpwstr>
      </vt:variant>
      <vt:variant>
        <vt:lpwstr>_Toc33614410</vt:lpwstr>
      </vt:variant>
      <vt:variant>
        <vt:i4>3735580</vt:i4>
      </vt:variant>
      <vt:variant>
        <vt:i4>2</vt:i4>
      </vt:variant>
      <vt:variant>
        <vt:i4>0</vt:i4>
      </vt:variant>
      <vt:variant>
        <vt:i4>5</vt:i4>
      </vt:variant>
      <vt:variant>
        <vt:lpwstr>C:\Users\alessandra.muto\AppData\Local\Microsoft\Windows\INetCache\Content.Outlook\IJIJHWS8\EUTF MADAD 1st interim report Y1 2019 T04_132_approved clean.docx</vt:lpwstr>
      </vt:variant>
      <vt:variant>
        <vt:lpwstr>_Toc33614409</vt:lpwstr>
      </vt:variant>
      <vt:variant>
        <vt:i4>4063284</vt:i4>
      </vt:variant>
      <vt:variant>
        <vt:i4>12</vt:i4>
      </vt:variant>
      <vt:variant>
        <vt:i4>0</vt:i4>
      </vt:variant>
      <vt:variant>
        <vt:i4>5</vt:i4>
      </vt:variant>
      <vt:variant>
        <vt:lpwstr>https://www.imf.org/en/News/Articles/2021/11/17/~/link.aspx?_id=9C8411E26BD84173955E3B29FB6ED485&amp;_z=z</vt:lpwstr>
      </vt:variant>
      <vt:variant>
        <vt:lpwstr/>
      </vt:variant>
      <vt:variant>
        <vt:i4>2556000</vt:i4>
      </vt:variant>
      <vt:variant>
        <vt:i4>9</vt:i4>
      </vt:variant>
      <vt:variant>
        <vt:i4>0</vt:i4>
      </vt:variant>
      <vt:variant>
        <vt:i4>5</vt:i4>
      </vt:variant>
      <vt:variant>
        <vt:lpwstr>https://databank.worldbank.org/source/world-development-indicators</vt:lpwstr>
      </vt:variant>
      <vt:variant>
        <vt:lpwstr/>
      </vt:variant>
      <vt:variant>
        <vt:i4>8126524</vt:i4>
      </vt:variant>
      <vt:variant>
        <vt:i4>6</vt:i4>
      </vt:variant>
      <vt:variant>
        <vt:i4>0</vt:i4>
      </vt:variant>
      <vt:variant>
        <vt:i4>5</vt:i4>
      </vt:variant>
      <vt:variant>
        <vt:lpwstr>https://www.unescwa.org/publications/transport-connectivity-global-value-chains</vt:lpwstr>
      </vt:variant>
      <vt:variant>
        <vt:lpwstr/>
      </vt:variant>
      <vt:variant>
        <vt:i4>2556000</vt:i4>
      </vt:variant>
      <vt:variant>
        <vt:i4>3</vt:i4>
      </vt:variant>
      <vt:variant>
        <vt:i4>0</vt:i4>
      </vt:variant>
      <vt:variant>
        <vt:i4>5</vt:i4>
      </vt:variant>
      <vt:variant>
        <vt:lpwstr>https://databank.worldbank.org/source/world-development-indicators</vt:lpwstr>
      </vt:variant>
      <vt:variant>
        <vt:lpwstr/>
      </vt:variant>
      <vt:variant>
        <vt:i4>720990</vt:i4>
      </vt:variant>
      <vt:variant>
        <vt:i4>0</vt:i4>
      </vt:variant>
      <vt:variant>
        <vt:i4>0</vt:i4>
      </vt:variant>
      <vt:variant>
        <vt:i4>5</vt:i4>
      </vt:variant>
      <vt:variant>
        <vt:lpwstr>https://unctad.org/statistics</vt:lpwstr>
      </vt:variant>
      <vt:variant>
        <vt:lpwstr/>
      </vt:variant>
      <vt:variant>
        <vt:i4>4325410</vt:i4>
      </vt:variant>
      <vt:variant>
        <vt:i4>18</vt:i4>
      </vt:variant>
      <vt:variant>
        <vt:i4>0</vt:i4>
      </vt:variant>
      <vt:variant>
        <vt:i4>5</vt:i4>
      </vt:variant>
      <vt:variant>
        <vt:lpwstr>mailto:abedelkader.alhajahmad@undp.org</vt:lpwstr>
      </vt:variant>
      <vt:variant>
        <vt:lpwstr/>
      </vt:variant>
      <vt:variant>
        <vt:i4>5505057</vt:i4>
      </vt:variant>
      <vt:variant>
        <vt:i4>15</vt:i4>
      </vt:variant>
      <vt:variant>
        <vt:i4>0</vt:i4>
      </vt:variant>
      <vt:variant>
        <vt:i4>5</vt:i4>
      </vt:variant>
      <vt:variant>
        <vt:lpwstr>mailto:ali.shraim@undp.org</vt:lpwstr>
      </vt:variant>
      <vt:variant>
        <vt:lpwstr/>
      </vt:variant>
      <vt:variant>
        <vt:i4>5963872</vt:i4>
      </vt:variant>
      <vt:variant>
        <vt:i4>12</vt:i4>
      </vt:variant>
      <vt:variant>
        <vt:i4>0</vt:i4>
      </vt:variant>
      <vt:variant>
        <vt:i4>5</vt:i4>
      </vt:variant>
      <vt:variant>
        <vt:lpwstr>mailto:maya.abi-zeid@undp.org</vt:lpwstr>
      </vt:variant>
      <vt:variant>
        <vt:lpwstr/>
      </vt:variant>
      <vt:variant>
        <vt:i4>4325410</vt:i4>
      </vt:variant>
      <vt:variant>
        <vt:i4>9</vt:i4>
      </vt:variant>
      <vt:variant>
        <vt:i4>0</vt:i4>
      </vt:variant>
      <vt:variant>
        <vt:i4>5</vt:i4>
      </vt:variant>
      <vt:variant>
        <vt:lpwstr>mailto:abedelkader.alhajahmad@undp.org</vt:lpwstr>
      </vt:variant>
      <vt:variant>
        <vt:lpwstr/>
      </vt:variant>
      <vt:variant>
        <vt:i4>5505057</vt:i4>
      </vt:variant>
      <vt:variant>
        <vt:i4>6</vt:i4>
      </vt:variant>
      <vt:variant>
        <vt:i4>0</vt:i4>
      </vt:variant>
      <vt:variant>
        <vt:i4>5</vt:i4>
      </vt:variant>
      <vt:variant>
        <vt:lpwstr>mailto:ali.shraim@undp.org</vt:lpwstr>
      </vt:variant>
      <vt:variant>
        <vt:lpwstr/>
      </vt:variant>
      <vt:variant>
        <vt:i4>7340057</vt:i4>
      </vt:variant>
      <vt:variant>
        <vt:i4>3</vt:i4>
      </vt:variant>
      <vt:variant>
        <vt:i4>0</vt:i4>
      </vt:variant>
      <vt:variant>
        <vt:i4>5</vt:i4>
      </vt:variant>
      <vt:variant>
        <vt:lpwstr>mailto:alessandra.muto@undp.org</vt:lpwstr>
      </vt:variant>
      <vt:variant>
        <vt:lpwstr/>
      </vt:variant>
      <vt:variant>
        <vt:i4>7340057</vt:i4>
      </vt:variant>
      <vt:variant>
        <vt:i4>0</vt:i4>
      </vt:variant>
      <vt:variant>
        <vt:i4>0</vt:i4>
      </vt:variant>
      <vt:variant>
        <vt:i4>5</vt:i4>
      </vt:variant>
      <vt:variant>
        <vt:lpwstr>mailto:alessandra.muto@undp.org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Review Report 2017-2022</dc:title>
  <dc:subject>2021 Progress Report Annual and Final Progress Report Draft 0</dc:subject>
  <dc:creator>UNDP</dc:creator>
  <cp:keywords>AEISD 2021-Annual</cp:keywords>
  <dc:description/>
  <cp:lastModifiedBy>Paola Pagliani</cp:lastModifiedBy>
  <cp:revision>2</cp:revision>
  <cp:lastPrinted>2020-05-31T22:17:00Z</cp:lastPrinted>
  <dcterms:created xsi:type="dcterms:W3CDTF">2022-05-15T12:21:00Z</dcterms:created>
  <dcterms:modified xsi:type="dcterms:W3CDTF">2022-05-15T12:21:00Z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1394;#H05|b3e864a6-be94-4fb8-a65c-df105a2d823f</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d86ebcea-63db-424a-8447-0ad0bc150d6f</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